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Denis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General Counsel,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4"/>
        <w:gridCol w:w="1222"/>
        <w:gridCol w:w="1124"/>
        <w:gridCol w:w="1288"/>
        <w:gridCol w:w="926"/>
        <w:gridCol w:w="1255"/>
        <w:gridCol w:w="1214"/>
        <w:gridCol w:w="1342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1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09/30/2028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1,103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to Form 3 is being filed to report an award of performance stock units granted to Mr. Denis before he became an executive officer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restricted stock unit represents a contingent right to receive one share of the Issuer's Common Stock based upon the Issuer's EBITDA percentage over a three-year performance period ending June 28,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Denis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6085" TargetMode="External"/><Relationship Id="rId3" Type="http://schemas.openxmlformats.org/officeDocument/2006/relationships/hyperlink" Target="http://www.sec.gov/cgi-bin/browse-edgar?action=getcompany&amp;CIK=000093303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466</Words>
  <Characters>2559</Characters>
  <CharactersWithSpaces>2973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