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right"/>
        <w:rPr/>
      </w:pPr>
      <w:bookmarkStart w:id="0" w:name="strt-20261013.htm"/>
      <w:bookmarkStart w:id="1" w:name="ksstrt20261013"/>
      <w:bookmarkEnd w:id="0"/>
      <w:bookmarkEnd w:id="1"/>
      <w:r>
        <w:rPr/>
        <w:t> </w:t>
      </w:r>
    </w:p>
    <w:p>
      <w:pPr>
        <w:pStyle w:val="TextBody"/>
        <w:bidi w:val="0"/>
        <w:spacing w:before="88"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22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b/>
          <w:color w:val="000000"/>
          <w:sz w:val="24"/>
        </w:rPr>
      </w:pPr>
      <w:r>
        <w:rPr>
          <w:rFonts w:ascii="Times New Roman" w:hAnsi="Times New Roman"/>
          <w:b/>
          <w:color w:val="000000"/>
          <w:sz w:val="24"/>
        </w:rPr>
        <w:t>Pursuant to Section 13 or 15(d) of the</w:t>
      </w:r>
    </w:p>
    <w:p>
      <w:pPr>
        <w:pStyle w:val="TextBody"/>
        <w:bidi w:val="0"/>
        <w:jc w:val="center"/>
        <w:rPr>
          <w:rFonts w:ascii="Times New Roman" w:hAnsi="Times New Roman"/>
          <w:b/>
          <w:color w:val="000000"/>
          <w:sz w:val="24"/>
        </w:rPr>
      </w:pPr>
      <w:r>
        <w:rPr>
          <w:rFonts w:ascii="Times New Roman" w:hAnsi="Times New Roman"/>
          <w:b/>
          <w:color w:val="000000"/>
          <w:sz w:val="24"/>
        </w:rPr>
        <w:t>Securities Exchange Act of 1934</w:t>
      </w:r>
    </w:p>
    <w:p>
      <w:pPr>
        <w:pStyle w:val="TextBody"/>
        <w:bidi w:val="0"/>
        <w:spacing w:before="264" w:after="283"/>
        <w:jc w:val="center"/>
        <w:rPr>
          <w:rFonts w:ascii="Times New Roman" w:hAnsi="Times New Roman"/>
          <w:b/>
          <w:color w:val="000000"/>
          <w:sz w:val="24"/>
        </w:rPr>
      </w:pPr>
      <w:r>
        <w:rPr>
          <w:rFonts w:ascii="Times New Roman" w:hAnsi="Times New Roman"/>
          <w:b/>
          <w:color w:val="000000"/>
          <w:sz w:val="24"/>
        </w:rPr>
        <w:t>Date of report (Date of earliest event reported): October 13, 2026</w:t>
      </w:r>
    </w:p>
    <w:p>
      <w:pPr>
        <w:pStyle w:val="TextBody"/>
        <w:bidi w:val="0"/>
        <w:jc w:val="center"/>
        <w:rPr>
          <w:rFonts w:ascii="Times New Roman" w:hAnsi="Times New Roman"/>
          <w:b/>
          <w:color w:val="000000"/>
          <w:sz w:val="44"/>
        </w:rPr>
      </w:pPr>
      <w:r>
        <w:rPr>
          <w:rFonts w:ascii="Times New Roman" w:hAnsi="Times New Roman"/>
          <w:b/>
          <w:color w:val="000000"/>
          <w:sz w:val="44"/>
        </w:rPr>
        <w:t>STRATTEC SECURITY CORPORATION</w:t>
      </w:r>
    </w:p>
    <w:p>
      <w:pPr>
        <w:pStyle w:val="TextBody"/>
        <w:bidi w:val="0"/>
        <w:jc w:val="center"/>
        <w:rPr>
          <w:rFonts w:ascii="Times New Roman" w:hAnsi="Times New Roman"/>
          <w:color w:val="000000"/>
          <w:sz w:val="20"/>
        </w:rPr>
      </w:pPr>
      <w:r>
        <w:rPr>
          <w:rFonts w:ascii="Times New Roman" w:hAnsi="Times New Roman"/>
          <w:color w:val="000000"/>
          <w:sz w:val="20"/>
        </w:rPr>
        <w:t xml:space="preserve">(Exact Name of Registrant as Specified in Charter) </w:t>
      </w:r>
    </w:p>
    <w:tbl>
      <w:tblPr>
        <w:tblW w:w="4676" w:type="dxa"/>
        <w:jc w:val="left"/>
        <w:tblInd w:w="0" w:type="dxa"/>
        <w:tblLayout w:type="fixed"/>
        <w:tblCellMar>
          <w:top w:w="28" w:type="dxa"/>
          <w:left w:w="28" w:type="dxa"/>
          <w:bottom w:w="28" w:type="dxa"/>
          <w:right w:w="28" w:type="dxa"/>
        </w:tblCellMar>
      </w:tblPr>
      <w:tblGrid>
        <w:gridCol w:w="1981"/>
        <w:gridCol w:w="109"/>
        <w:gridCol w:w="1036"/>
        <w:gridCol w:w="109"/>
        <w:gridCol w:w="1441"/>
      </w:tblGrid>
      <w:tr>
        <w:trPr/>
        <w:tc>
          <w:tcPr>
            <w:tcW w:w="1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Wisconsin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0-25150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39-1804239</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(Commission</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2"/>
              <w:jc w:val="center"/>
              <w:rPr>
                <w:rFonts w:ascii="Times New Roman" w:hAnsi="Times New Roman"/>
                <w:color w:val="000000"/>
                <w:sz w:val="16"/>
              </w:rPr>
            </w:pPr>
            <w:r>
              <w:rPr>
                <w:rFonts w:ascii="Times New Roman" w:hAnsi="Times New Roman"/>
                <w:color w:val="000000"/>
                <w:sz w:val="16"/>
              </w:rPr>
              <w:t>Identification No.)</w:t>
            </w:r>
          </w:p>
        </w:tc>
      </w:tr>
      <w:tr>
        <w:trPr/>
        <w:tc>
          <w:tcPr>
            <w:tcW w:w="3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3333 West Good Hope Road, Milwaukee, Wisconsin</w:t>
      </w:r>
      <w:r>
        <w:rPr>
          <w:rFonts w:ascii="Times New Roman" w:hAnsi="Times New Roman"/>
          <w:color w:val="000000"/>
          <w:sz w:val="20"/>
        </w:rPr>
        <w:t xml:space="preserve"> </w:t>
      </w:r>
      <w:r>
        <w:rPr>
          <w:rFonts w:ascii="Times New Roman" w:hAnsi="Times New Roman"/>
          <w:b/>
          <w:color w:val="000000"/>
          <w:sz w:val="20"/>
        </w:rPr>
        <w:t>53209</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 and Zip Code)</w:t>
      </w:r>
    </w:p>
    <w:p>
      <w:pPr>
        <w:pStyle w:val="TextBody"/>
        <w:bidi w:val="0"/>
        <w:spacing w:before="120" w:after="283"/>
        <w:jc w:val="center"/>
        <w:rPr>
          <w:rFonts w:ascii="Times New Roman" w:hAnsi="Times New Roman"/>
          <w:sz w:val="20"/>
        </w:rPr>
      </w:pPr>
      <w:r>
        <w:rPr>
          <w:rFonts w:ascii="Times New Roman" w:hAnsi="Times New Roman"/>
          <w:b/>
          <w:color w:val="000000"/>
          <w:sz w:val="20"/>
        </w:rPr>
        <w:t>(414)</w:t>
      </w:r>
      <w:r>
        <w:rPr>
          <w:rFonts w:ascii="Times New Roman" w:hAnsi="Times New Roman"/>
          <w:color w:val="000000"/>
          <w:sz w:val="20"/>
        </w:rPr>
        <w:t xml:space="preserve"> </w:t>
      </w:r>
      <w:r>
        <w:rPr>
          <w:rFonts w:ascii="Times New Roman" w:hAnsi="Times New Roman"/>
          <w:b/>
          <w:color w:val="000000"/>
          <w:sz w:val="20"/>
        </w:rPr>
        <w:t>247-3333</w:t>
      </w:r>
    </w:p>
    <w:p>
      <w:pPr>
        <w:pStyle w:val="TextBody"/>
        <w:bidi w:val="0"/>
        <w:jc w:val="center"/>
        <w:rPr>
          <w:rFonts w:ascii="Times New Roman" w:hAnsi="Times New Roman"/>
          <w:color w:val="000000"/>
          <w:sz w:val="16"/>
        </w:rPr>
      </w:pPr>
      <w:r>
        <w:rPr>
          <w:rFonts w:ascii="Times New Roman" w:hAnsi="Times New Roman"/>
          <w:color w:val="000000"/>
          <w:sz w:val="16"/>
        </w:rPr>
        <w:t>Registrant’s Telephone Number, Including Area Code</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(Former name or former address, if changed since last report)</w:t>
      </w:r>
    </w:p>
    <w:p>
      <w:pPr>
        <w:pStyle w:val="TextBody"/>
        <w:bidi w:val="0"/>
        <w:spacing w:before="264" w:after="283"/>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tbl>
      <w:tblPr>
        <w:tblW w:w="7776" w:type="dxa"/>
        <w:jc w:val="left"/>
        <w:tblInd w:w="0" w:type="dxa"/>
        <w:tblLayout w:type="fixed"/>
        <w:tblCellMar>
          <w:top w:w="28" w:type="dxa"/>
          <w:left w:w="28" w:type="dxa"/>
          <w:bottom w:w="28" w:type="dxa"/>
          <w:right w:w="28" w:type="dxa"/>
        </w:tblCellMar>
      </w:tblPr>
      <w:tblGrid>
        <w:gridCol w:w="124"/>
        <w:gridCol w:w="316"/>
        <w:gridCol w:w="733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3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 pursuant to Rule 425 under the Securities Act (17 CFR 230.425)</w:t>
            </w:r>
          </w:p>
        </w:tc>
      </w:tr>
    </w:tbl>
    <w:tbl>
      <w:tblPr>
        <w:tblW w:w="7881" w:type="dxa"/>
        <w:jc w:val="left"/>
        <w:tblInd w:w="0" w:type="dxa"/>
        <w:tblLayout w:type="fixed"/>
        <w:tblCellMar>
          <w:top w:w="28" w:type="dxa"/>
          <w:left w:w="28" w:type="dxa"/>
          <w:bottom w:w="28" w:type="dxa"/>
          <w:right w:w="28" w:type="dxa"/>
        </w:tblCellMar>
      </w:tblPr>
      <w:tblGrid>
        <w:gridCol w:w="124"/>
        <w:gridCol w:w="316"/>
        <w:gridCol w:w="7441"/>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744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74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bl>
    <w:tbl>
      <w:tblPr>
        <w:tblW w:w="9546" w:type="dxa"/>
        <w:jc w:val="left"/>
        <w:tblInd w:w="0" w:type="dxa"/>
        <w:tblLayout w:type="fixed"/>
        <w:tblCellMar>
          <w:top w:w="28" w:type="dxa"/>
          <w:left w:w="28" w:type="dxa"/>
          <w:bottom w:w="28" w:type="dxa"/>
          <w:right w:w="28" w:type="dxa"/>
        </w:tblCellMar>
      </w:tblPr>
      <w:tblGrid>
        <w:gridCol w:w="124"/>
        <w:gridCol w:w="316"/>
        <w:gridCol w:w="910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10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Pre-commencement communication pursuant to Rule 14d-2(b) under the Exchange Act (17 CFR 240.14d-2(b))</w:t>
            </w:r>
          </w:p>
        </w:tc>
      </w:tr>
    </w:tbl>
    <w:tbl>
      <w:tblPr>
        <w:tblW w:w="9486" w:type="dxa"/>
        <w:jc w:val="left"/>
        <w:tblInd w:w="0" w:type="dxa"/>
        <w:tblLayout w:type="fixed"/>
        <w:tblCellMar>
          <w:top w:w="28" w:type="dxa"/>
          <w:left w:w="28" w:type="dxa"/>
          <w:bottom w:w="28" w:type="dxa"/>
          <w:right w:w="28" w:type="dxa"/>
        </w:tblCellMar>
      </w:tblPr>
      <w:tblGrid>
        <w:gridCol w:w="124"/>
        <w:gridCol w:w="31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46"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04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Pre-commencement communication pursuant to Rule 13e-4(c) under the Exchange Act (17 CFR 240.13e-4(c))</w:t>
            </w:r>
          </w:p>
          <w:p>
            <w:pPr>
              <w:pStyle w:val="TableContents"/>
              <w:bidi w:val="0"/>
              <w:spacing w:before="0" w:after="283"/>
              <w:jc w:val="left"/>
              <w:rPr/>
            </w:pPr>
            <w:r>
              <w:rPr/>
              <w:t> </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Securities registered pursuant to Section 12(b) of the Act:</w:t>
      </w:r>
    </w:p>
    <w:tbl>
      <w:tblPr>
        <w:tblW w:w="7465" w:type="dxa"/>
        <w:jc w:val="left"/>
        <w:tblInd w:w="0" w:type="dxa"/>
        <w:tblLayout w:type="fixed"/>
        <w:tblCellMar>
          <w:top w:w="28" w:type="dxa"/>
          <w:left w:w="28" w:type="dxa"/>
          <w:bottom w:w="28" w:type="dxa"/>
          <w:right w:w="28" w:type="dxa"/>
        </w:tblCellMar>
      </w:tblPr>
      <w:tblGrid>
        <w:gridCol w:w="2326"/>
        <w:gridCol w:w="146"/>
        <w:gridCol w:w="1366"/>
        <w:gridCol w:w="146"/>
        <w:gridCol w:w="3481"/>
      </w:tblGrid>
      <w:tr>
        <w:trPr/>
        <w:tc>
          <w:tcPr>
            <w:tcW w:w="23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232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1366"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Trading 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44"/>
              <w:jc w:val="center"/>
              <w:rPr/>
            </w:pPr>
            <w:r>
              <w:rPr/>
              <w:t> </w:t>
            </w:r>
          </w:p>
        </w:tc>
        <w:tc>
          <w:tcPr>
            <w:tcW w:w="3481" w:type="dxa"/>
            <w:tcBorders>
              <w:bottom w:val="single" w:sz="4" w:space="0" w:color="000000"/>
            </w:tcBorders>
            <w:tcMar>
              <w:top w:w="0" w:type="dxa"/>
              <w:left w:w="0" w:type="dxa"/>
              <w:right w:w="0" w:type="dxa"/>
            </w:tcMar>
            <w:vAlign w:val="center"/>
          </w:tcPr>
          <w:p>
            <w:pPr>
              <w:pStyle w:val="TableContents"/>
              <w:bidi w:val="0"/>
              <w:spacing w:before="0" w:after="44"/>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232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Common Stock, $.01 par value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36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STRT</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481"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color w:val="000000"/>
                <w:sz w:val="18"/>
              </w:rPr>
            </w:pPr>
            <w:r>
              <w:rPr>
                <w:rFonts w:ascii="Times New Roman" w:hAnsi="Times New Roman"/>
                <w:color w:val="000000"/>
                <w:sz w:val="18"/>
              </w:rPr>
              <w:t>The Nasdaq Global Stock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20" w:after="283"/>
        <w:jc w:val="right"/>
        <w:rPr>
          <w:rFonts w:ascii="Times New Roman" w:hAnsi="Times New Roman"/>
          <w:color w:val="000000"/>
          <w:sz w:val="20"/>
        </w:rPr>
      </w:pPr>
      <w:r>
        <w:rPr>
          <w:rFonts w:ascii="Times New Roman" w:hAnsi="Times New Roman"/>
          <w:color w:val="000000"/>
          <w:sz w:val="20"/>
        </w:rPr>
        <w:t>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Item 5.07 Submission of Matters to a Vote of Security Holders.</w:t>
      </w:r>
    </w:p>
    <w:p>
      <w:pPr>
        <w:pStyle w:val="TextBody"/>
        <w:bidi w:val="0"/>
        <w:spacing w:before="240" w:after="283"/>
        <w:jc w:val="both"/>
        <w:rPr>
          <w:rFonts w:ascii="Times New Roman" w:hAnsi="Times New Roman"/>
          <w:sz w:val="20"/>
        </w:rPr>
      </w:pPr>
      <w:r>
        <w:rPr>
          <w:rFonts w:ascii="Times New Roman" w:hAnsi="Times New Roman"/>
          <w:color w:val="000000"/>
          <w:sz w:val="20"/>
        </w:rPr>
        <w:t>On October 13, 2026, Strattec Security Corporation (the “</w:t>
      </w:r>
      <w:r>
        <w:rPr>
          <w:rFonts w:ascii="Times New Roman" w:hAnsi="Times New Roman"/>
          <w:color w:val="000000"/>
          <w:sz w:val="20"/>
          <w:u w:val="single"/>
        </w:rPr>
        <w:t>Company</w:t>
      </w:r>
      <w:r>
        <w:rPr>
          <w:rFonts w:ascii="Times New Roman" w:hAnsi="Times New Roman"/>
          <w:color w:val="000000"/>
          <w:sz w:val="20"/>
        </w:rPr>
        <w:t>”) held its 2026 Annual Meeting of Shareholders (the “</w:t>
      </w:r>
      <w:r>
        <w:rPr>
          <w:rFonts w:ascii="Times New Roman" w:hAnsi="Times New Roman"/>
          <w:color w:val="000000"/>
          <w:sz w:val="20"/>
          <w:u w:val="single"/>
        </w:rPr>
        <w:t>Annual Meeting</w:t>
      </w:r>
      <w:r>
        <w:rPr>
          <w:rFonts w:ascii="Times New Roman" w:hAnsi="Times New Roman"/>
          <w:color w:val="000000"/>
          <w:sz w:val="20"/>
        </w:rPr>
        <w:t>”). As of the close of business on August 14, 2026, the record date for the Annual Meeting, 3,985,013 common shares were outstanding and entitled to vote. At the Annual Meeting, 3,565,528, or approximately 89.5%, of the outstanding common shares entitled to vote were represented in person or by proxy, constituting a quorum. At the Annual Meeting, the shareholders of the Company voted as set forth below on the following proposals, each of which is described in detail in the Company’s definitive proxy statement on Schedule 14A filed with the Securities and Exchange Commission on September 16, 2026.</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Proposal No. 1. Election of Directors.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Company’s shareholders elected, with the respective votes set forth opposite their names, the following persons to the Company’s Board of Directors to hold office until the 2027 annual meeting of shareholders or until their successors are duly elected and qualified: </w:t>
        <w:br/>
        <w:t> </w:t>
      </w:r>
    </w:p>
    <w:tbl>
      <w:tblPr>
        <w:tblW w:w="6981" w:type="dxa"/>
        <w:jc w:val="left"/>
        <w:tblInd w:w="0" w:type="dxa"/>
        <w:tblLayout w:type="fixed"/>
        <w:tblCellMar>
          <w:top w:w="28" w:type="dxa"/>
          <w:left w:w="28" w:type="dxa"/>
          <w:bottom w:w="28" w:type="dxa"/>
          <w:right w:w="28" w:type="dxa"/>
        </w:tblCellMar>
      </w:tblPr>
      <w:tblGrid>
        <w:gridCol w:w="2161"/>
        <w:gridCol w:w="146"/>
        <w:gridCol w:w="146"/>
        <w:gridCol w:w="931"/>
        <w:gridCol w:w="146"/>
        <w:gridCol w:w="146"/>
        <w:gridCol w:w="146"/>
        <w:gridCol w:w="781"/>
        <w:gridCol w:w="146"/>
        <w:gridCol w:w="146"/>
        <w:gridCol w:w="146"/>
        <w:gridCol w:w="676"/>
        <w:gridCol w:w="146"/>
        <w:gridCol w:w="146"/>
        <w:gridCol w:w="146"/>
        <w:gridCol w:w="826"/>
      </w:tblGrid>
      <w:tr>
        <w:trPr/>
        <w:tc>
          <w:tcPr>
            <w:tcW w:w="2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r>
      <w:tr>
        <w:trPr/>
        <w:tc>
          <w:tcPr>
            <w:tcW w:w="2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Against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Abstain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Broker</w:t>
              <w:br/>
              <w:t>Non-Vote</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Matteo Anversa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3,094,311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60,090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409,179</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W. Florsheim, Jr.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3,016,541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138,460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1,346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409,181</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 Jack Liebau, Jr.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2,967,054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187,391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409,180</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Bruce M. Lisman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3,078,174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76,660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409,179</w:t>
            </w:r>
          </w:p>
        </w:tc>
      </w:tr>
      <w:tr>
        <w:trPr/>
        <w:tc>
          <w:tcPr>
            <w:tcW w:w="21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 Bruce McDonald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3,101,268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51,789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409,180</w:t>
            </w:r>
          </w:p>
        </w:tc>
      </w:tr>
      <w:tr>
        <w:trPr/>
        <w:tc>
          <w:tcPr>
            <w:tcW w:w="21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Patricia Warfield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3,099,019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5,630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51,699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409,180</w:t>
            </w:r>
          </w:p>
        </w:tc>
      </w:tr>
      <w:tr>
        <w:trPr/>
        <w:tc>
          <w:tcPr>
            <w:tcW w:w="216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Jennifer Slater</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3,151,904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2,704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1,741</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CEE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409,179</w:t>
            </w:r>
          </w:p>
        </w:tc>
      </w:tr>
    </w:tbl>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Proposal No. 2. Advisory Vote to Approve Executive Compensation.</w:t>
      </w:r>
    </w:p>
    <w:p>
      <w:pPr>
        <w:pStyle w:val="TextBody"/>
        <w:bidi w:val="0"/>
        <w:jc w:val="both"/>
        <w:rPr>
          <w:rFonts w:ascii="Times New Roman" w:hAnsi="Times New Roman"/>
          <w:color w:val="000000"/>
          <w:sz w:val="20"/>
        </w:rPr>
      </w:pPr>
      <w:r>
        <w:rPr>
          <w:rFonts w:ascii="Times New Roman" w:hAnsi="Times New Roman"/>
          <w:color w:val="000000"/>
          <w:sz w:val="20"/>
        </w:rPr>
        <w:t>The Company’s shareholders, by adopting a non-binding advisory resolution, approved the 2026 compensation of the Company’s named executive officers, with 98.0% of the shares voted with respect to the proposal being cast “for” the proposal. Voting results on this proposal were as follows:</w:t>
      </w:r>
    </w:p>
    <w:p>
      <w:pPr>
        <w:pStyle w:val="TextBody"/>
        <w:bidi w:val="0"/>
        <w:jc w:val="left"/>
        <w:rPr/>
      </w:pPr>
      <w:r>
        <w:rPr/>
        <w:t> </w:t>
      </w:r>
    </w:p>
    <w:tbl>
      <w:tblPr>
        <w:tblW w:w="2879" w:type="dxa"/>
        <w:jc w:val="left"/>
        <w:tblInd w:w="0" w:type="dxa"/>
        <w:tblLayout w:type="fixed"/>
        <w:tblCellMar>
          <w:top w:w="28" w:type="dxa"/>
          <w:left w:w="28" w:type="dxa"/>
          <w:bottom w:w="28" w:type="dxa"/>
          <w:right w:w="28" w:type="dxa"/>
        </w:tblCellMar>
      </w:tblPr>
      <w:tblGrid>
        <w:gridCol w:w="1576"/>
        <w:gridCol w:w="109"/>
        <w:gridCol w:w="109"/>
        <w:gridCol w:w="931"/>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3,093,726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Against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55,996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Abstain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6,626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Broker Non-Vote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409,180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both"/>
        <w:rPr>
          <w:rFonts w:ascii="Times New Roman" w:hAnsi="Times New Roman"/>
          <w:color w:val="000000"/>
          <w:sz w:val="20"/>
          <w:u w:val="single"/>
        </w:rPr>
      </w:pPr>
      <w:r>
        <w:rPr>
          <w:rFonts w:ascii="Times New Roman" w:hAnsi="Times New Roman"/>
          <w:color w:val="000000"/>
          <w:sz w:val="20"/>
          <w:u w:val="single"/>
        </w:rPr>
        <w:t>Proposal No. 3. Ratification of the Appointment of Deloitte &amp; Touche LLP as the Company’s Independent Registered Public Accounting Firm.</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Company’s shareholders ratified the appointment of Deloitte &amp; Touche LLP as the Company’s independent registered public accounting firm for the fiscal year ending June 27, 2027. </w:t>
      </w:r>
    </w:p>
    <w:tbl>
      <w:tblPr>
        <w:tblW w:w="2879" w:type="dxa"/>
        <w:jc w:val="left"/>
        <w:tblInd w:w="0" w:type="dxa"/>
        <w:tblLayout w:type="fixed"/>
        <w:tblCellMar>
          <w:top w:w="28" w:type="dxa"/>
          <w:left w:w="28" w:type="dxa"/>
          <w:bottom w:w="28" w:type="dxa"/>
          <w:right w:w="28" w:type="dxa"/>
        </w:tblCellMar>
      </w:tblPr>
      <w:tblGrid>
        <w:gridCol w:w="1576"/>
        <w:gridCol w:w="109"/>
        <w:gridCol w:w="109"/>
        <w:gridCol w:w="931"/>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3,498,638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Against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65,771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Abstain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Broker Non-Vote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240" w:after="240"/>
        <w:jc w:val="left"/>
        <w:rPr>
          <w:rFonts w:ascii="Times New Roman" w:hAnsi="Times New Roman"/>
          <w:sz w:val="20"/>
        </w:rPr>
      </w:pPr>
      <w:r>
        <w:rPr>
          <w:rFonts w:ascii="Times New Roman" w:hAnsi="Times New Roman"/>
          <w:color w:val="000000"/>
          <w:sz w:val="20"/>
        </w:rPr>
        <w:t xml:space="preserve">(d) </w:t>
      </w:r>
      <w:r>
        <w:rPr>
          <w:rFonts w:ascii="Times New Roman" w:hAnsi="Times New Roman"/>
          <w:color w:val="000000"/>
          <w:sz w:val="20"/>
          <w:u w:val="single"/>
        </w:rPr>
        <w:t>Exhibits</w:t>
      </w:r>
      <w:r>
        <w:rPr>
          <w:rFonts w:ascii="Times New Roman" w:hAnsi="Times New Roman"/>
          <w:color w:val="000000"/>
          <w:sz w:val="20"/>
        </w:rPr>
        <w:t>.</w:t>
      </w:r>
    </w:p>
    <w:tbl>
      <w:tblPr>
        <w:tblW w:w="8027" w:type="dxa"/>
        <w:jc w:val="left"/>
        <w:tblInd w:w="0" w:type="dxa"/>
        <w:tblLayout w:type="fixed"/>
        <w:tblCellMar>
          <w:top w:w="28" w:type="dxa"/>
          <w:left w:w="28" w:type="dxa"/>
          <w:bottom w:w="28" w:type="dxa"/>
          <w:right w:w="28" w:type="dxa"/>
        </w:tblCellMar>
      </w:tblPr>
      <w:tblGrid>
        <w:gridCol w:w="1426"/>
        <w:gridCol w:w="6601"/>
      </w:tblGrid>
      <w:tr>
        <w:trPr/>
        <w:tc>
          <w:tcPr>
            <w:tcW w:w="142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u w:val="single"/>
              </w:rPr>
            </w:pPr>
            <w:r>
              <w:rPr>
                <w:rFonts w:ascii="Times New Roman" w:hAnsi="Times New Roman"/>
                <w:color w:val="000000"/>
                <w:sz w:val="20"/>
                <w:u w:val="single"/>
              </w:rPr>
              <w:t>Exhibit Number</w:t>
            </w:r>
          </w:p>
        </w:tc>
        <w:tc>
          <w:tcPr>
            <w:tcW w:w="66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4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SIGNATURE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Pursuant to the requirements of the Securities Exchange Act of 1934, the registrant has duly caused this report to be signed on its behalf by the undersigned hereunto duly authorized.</w:t>
      </w:r>
    </w:p>
    <w:p>
      <w:pPr>
        <w:pStyle w:val="TextBody"/>
        <w:bidi w:val="0"/>
        <w:jc w:val="both"/>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STRATTEC SECURITY CORPORATION</w:t>
      </w:r>
    </w:p>
    <w:p>
      <w:pPr>
        <w:pStyle w:val="TextBody"/>
        <w:bidi w:val="0"/>
        <w:jc w:val="both"/>
        <w:rPr/>
      </w:pPr>
      <w:r>
        <w:rPr/>
        <w:t> </w:t>
      </w:r>
    </w:p>
    <w:p>
      <w:pPr>
        <w:pStyle w:val="TextBody"/>
        <w:bidi w:val="0"/>
        <w:jc w:val="both"/>
        <w:rPr>
          <w:rFonts w:ascii="Times New Roman" w:hAnsi="Times New Roman"/>
          <w:sz w:val="24"/>
        </w:rPr>
      </w:pPr>
      <w:r>
        <w:rPr>
          <w:rFonts w:ascii="Times New Roman" w:hAnsi="Times New Roman"/>
          <w:color w:val="000000"/>
          <w:sz w:val="24"/>
        </w:rPr>
        <w:t xml:space="preserve">By: </w:t>
      </w:r>
      <w:r>
        <w:rPr>
          <w:rFonts w:ascii="Times New Roman" w:hAnsi="Times New Roman"/>
          <w:color w:val="000000"/>
          <w:sz w:val="24"/>
          <w:u w:val="single"/>
        </w:rPr>
        <w:t xml:space="preserve">/s/ Matthew P. Pauli </w:t>
      </w:r>
    </w:p>
    <w:p>
      <w:pPr>
        <w:pStyle w:val="TextBody"/>
        <w:bidi w:val="0"/>
        <w:jc w:val="left"/>
        <w:rPr>
          <w:rFonts w:ascii="Times New Roman" w:hAnsi="Times New Roman"/>
          <w:color w:val="000000"/>
          <w:sz w:val="24"/>
        </w:rPr>
      </w:pPr>
      <w:r>
        <w:rPr>
          <w:rFonts w:ascii="Times New Roman" w:hAnsi="Times New Roman"/>
          <w:color w:val="000000"/>
          <w:sz w:val="24"/>
        </w:rPr>
        <w:t xml:space="preserve">Matthew P. Pauli, Senior Vice President and </w:t>
      </w:r>
    </w:p>
    <w:p>
      <w:pPr>
        <w:pStyle w:val="TextBody"/>
        <w:bidi w:val="0"/>
        <w:jc w:val="left"/>
        <w:rPr>
          <w:rFonts w:ascii="Times New Roman" w:hAnsi="Times New Roman"/>
          <w:color w:val="000000"/>
          <w:sz w:val="24"/>
        </w:rPr>
      </w:pPr>
      <w:r>
        <w:rPr>
          <w:rFonts w:ascii="Times New Roman" w:hAnsi="Times New Roman"/>
          <w:color w:val="000000"/>
          <w:sz w:val="24"/>
        </w:rPr>
        <w:t>Chief Financial Officer</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Date: October 14,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4045</Characters>
  <CharactersWithSpaces>4750</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