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trt-20260205.htm"/>
      <w:bookmarkStart w:id="1" w:name="ksstrt20260205"/>
      <w:bookmarkEnd w:id="0"/>
      <w:bookmarkEnd w:id="1"/>
      <w:r>
        <w:rPr/>
        <w:t> </w:t>
      </w:r>
      <w:r>
        <mc:AlternateContent>
          <mc:Choice Requires="wps">
            <w:drawing>
              <wp:anchor behindDoc="0" distT="0" distB="0" distL="0" distR="0" simplePos="0" locked="0" layoutInCell="1" allowOverlap="1" relativeHeight="2">
                <wp:simplePos x="0" y="0"/>
                <wp:positionH relativeFrom="page">
                  <wp:posOffset>914400</wp:posOffset>
                </wp:positionH>
                <wp:positionV relativeFrom="page">
                  <wp:posOffset>99695</wp:posOffset>
                </wp:positionV>
                <wp:extent cx="6581775" cy="175260"/>
                <wp:effectExtent l="0" t="0" r="0" b="0"/>
                <wp:wrapNone/>
                <wp:docPr id="1" name="Frame1"/>
                <a:graphic xmlns:a="http://schemas.openxmlformats.org/drawingml/2006/main">
                  <a:graphicData uri="http://schemas.microsoft.com/office/word/2010/wordprocessingShape">
                    <wps:wsp>
                      <wps:cNvSpPr txBox="1"/>
                      <wps:spPr>
                        <a:xfrm>
                          <a:off x="0" y="0"/>
                          <a:ext cx="65817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8.25pt;height:13.8pt;mso-wrap-distance-left:0pt;mso-wrap-distance-right:0pt;mso-wrap-distance-top:0pt;mso-wrap-distance-bottom:0pt;margin-top:7.85pt;mso-position-vertical-relative:page;margin-left:72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before="88"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2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64"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264" w:after="283"/>
        <w:jc w:val="center"/>
        <w:rPr>
          <w:rFonts w:ascii="Times New Roman" w:hAnsi="Times New Roman"/>
          <w:b/>
          <w:color w:val="000000"/>
          <w:sz w:val="24"/>
        </w:rPr>
      </w:pPr>
      <w:r>
        <w:rPr>
          <w:rFonts w:ascii="Times New Roman" w:hAnsi="Times New Roman"/>
          <w:b/>
          <w:color w:val="000000"/>
          <w:sz w:val="24"/>
        </w:rPr>
        <w:t>Date of report (Date of earliest event reported): February 5, 2026</w:t>
      </w:r>
    </w:p>
    <w:p>
      <w:pPr>
        <w:pStyle w:val="TextBody"/>
        <w:bidi w:val="0"/>
        <w:jc w:val="center"/>
        <w:rPr>
          <w:rFonts w:ascii="Times New Roman" w:hAnsi="Times New Roman"/>
          <w:b/>
          <w:color w:val="000000"/>
          <w:sz w:val="44"/>
        </w:rPr>
      </w:pPr>
      <w:r>
        <w:rPr>
          <w:rFonts w:ascii="Times New Roman" w:hAnsi="Times New Roman"/>
          <w:b/>
          <w:color w:val="000000"/>
          <w:sz w:val="44"/>
        </w:rPr>
        <w:t>STRATTEC SECURITY CORPORATION</w:t>
      </w:r>
    </w:p>
    <w:p>
      <w:pPr>
        <w:pStyle w:val="TextBody"/>
        <w:bidi w:val="0"/>
        <w:jc w:val="center"/>
        <w:rPr>
          <w:rFonts w:ascii="Times New Roman" w:hAnsi="Times New Roman"/>
          <w:color w:val="000000"/>
          <w:sz w:val="20"/>
        </w:rPr>
      </w:pPr>
      <w:r>
        <w:rPr>
          <w:rFonts w:ascii="Times New Roman" w:hAnsi="Times New Roman"/>
          <w:color w:val="000000"/>
          <w:sz w:val="20"/>
        </w:rPr>
        <w:t xml:space="preserve">(Exact Name of Registrant as Specified in Charter) </w:t>
      </w:r>
    </w:p>
    <w:tbl>
      <w:tblPr>
        <w:tblW w:w="4676" w:type="dxa"/>
        <w:jc w:val="left"/>
        <w:tblInd w:w="0" w:type="dxa"/>
        <w:tblLayout w:type="fixed"/>
        <w:tblCellMar>
          <w:top w:w="28" w:type="dxa"/>
          <w:left w:w="28" w:type="dxa"/>
          <w:bottom w:w="28" w:type="dxa"/>
          <w:right w:w="28" w:type="dxa"/>
        </w:tblCellMar>
      </w:tblPr>
      <w:tblGrid>
        <w:gridCol w:w="1981"/>
        <w:gridCol w:w="109"/>
        <w:gridCol w:w="1036"/>
        <w:gridCol w:w="109"/>
        <w:gridCol w:w="1441"/>
      </w:tblGrid>
      <w:tr>
        <w:trPr/>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0-25150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39-1804239</w:t>
            </w:r>
          </w:p>
        </w:tc>
      </w:tr>
      <w:tr>
        <w:trPr/>
        <w:tc>
          <w:tcPr>
            <w:tcW w:w="198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w:t>
            </w:r>
          </w:p>
          <w:p>
            <w:pPr>
              <w:pStyle w:val="TableContents"/>
              <w:bidi w:val="0"/>
              <w:spacing w:before="0" w:after="22"/>
              <w:jc w:val="center"/>
              <w:rPr>
                <w:rFonts w:ascii="Times New Roman" w:hAnsi="Times New Roman"/>
                <w:color w:val="000000"/>
                <w:sz w:val="16"/>
              </w:rPr>
            </w:pPr>
            <w:r>
              <w:rPr>
                <w:rFonts w:ascii="Times New Roman" w:hAnsi="Times New Roman"/>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(Commission</w:t>
            </w:r>
          </w:p>
          <w:p>
            <w:pPr>
              <w:pStyle w:val="TableContents"/>
              <w:bidi w:val="0"/>
              <w:spacing w:before="0" w:after="22"/>
              <w:jc w:val="center"/>
              <w:rPr>
                <w:rFonts w:ascii="Times New Roman" w:hAnsi="Times New Roman"/>
                <w:color w:val="000000"/>
                <w:sz w:val="16"/>
              </w:rPr>
            </w:pPr>
            <w:r>
              <w:rPr>
                <w:rFonts w:ascii="Times New Roman" w:hAnsi="Times New Roman"/>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2"/>
              <w:jc w:val="center"/>
              <w:rPr>
                <w:rFonts w:ascii="Times New Roman" w:hAnsi="Times New Roman"/>
                <w:color w:val="000000"/>
                <w:sz w:val="16"/>
              </w:rPr>
            </w:pPr>
            <w:r>
              <w:rPr>
                <w:rFonts w:ascii="Times New Roman" w:hAnsi="Times New Roman"/>
                <w:color w:val="000000"/>
                <w:sz w:val="16"/>
              </w:rPr>
              <w:t>Identification No.)</w:t>
            </w:r>
          </w:p>
        </w:tc>
      </w:tr>
      <w:tr>
        <w:trPr/>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3333 West Good Hope Road, Milwaukee, Wisconsin</w:t>
      </w:r>
      <w:r>
        <w:rPr>
          <w:rFonts w:ascii="Times New Roman" w:hAnsi="Times New Roman"/>
          <w:color w:val="000000"/>
          <w:sz w:val="20"/>
        </w:rPr>
        <w:t xml:space="preserve"> </w:t>
      </w:r>
      <w:r>
        <w:rPr>
          <w:rFonts w:ascii="Times New Roman" w:hAnsi="Times New Roman"/>
          <w:b/>
          <w:color w:val="000000"/>
          <w:sz w:val="20"/>
        </w:rPr>
        <w:t>53209</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and Zip Code)</w:t>
      </w:r>
    </w:p>
    <w:p>
      <w:pPr>
        <w:pStyle w:val="TextBody"/>
        <w:bidi w:val="0"/>
        <w:spacing w:before="120" w:after="283"/>
        <w:jc w:val="center"/>
        <w:rPr>
          <w:rFonts w:ascii="Times New Roman" w:hAnsi="Times New Roman"/>
          <w:sz w:val="20"/>
        </w:rPr>
      </w:pPr>
      <w:r>
        <w:rPr>
          <w:rFonts w:ascii="Times New Roman" w:hAnsi="Times New Roman"/>
          <w:b/>
          <w:color w:val="000000"/>
          <w:sz w:val="20"/>
        </w:rPr>
        <w:t>(414)</w:t>
      </w:r>
      <w:r>
        <w:rPr>
          <w:rFonts w:ascii="Times New Roman" w:hAnsi="Times New Roman"/>
          <w:color w:val="000000"/>
          <w:sz w:val="20"/>
        </w:rPr>
        <w:t xml:space="preserve"> </w:t>
      </w:r>
      <w:r>
        <w:rPr>
          <w:rFonts w:ascii="Times New Roman" w:hAnsi="Times New Roman"/>
          <w:b/>
          <w:color w:val="000000"/>
          <w:sz w:val="20"/>
        </w:rPr>
        <w:t>247-3333</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(Former name or former address, if changed since last report)</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76" w:type="dxa"/>
        <w:jc w:val="left"/>
        <w:tblInd w:w="0" w:type="dxa"/>
        <w:tblLayout w:type="fixed"/>
        <w:tblCellMar>
          <w:top w:w="28" w:type="dxa"/>
          <w:left w:w="28" w:type="dxa"/>
          <w:bottom w:w="28" w:type="dxa"/>
          <w:right w:w="28" w:type="dxa"/>
        </w:tblCellMar>
      </w:tblPr>
      <w:tblGrid>
        <w:gridCol w:w="124"/>
        <w:gridCol w:w="31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 pursuant to Rule 425 under the Securities Act (17 CFR 230.425)</w:t>
            </w:r>
          </w:p>
        </w:tc>
      </w:tr>
    </w:tbl>
    <w:tbl>
      <w:tblPr>
        <w:tblW w:w="7881" w:type="dxa"/>
        <w:jc w:val="left"/>
        <w:tblInd w:w="0" w:type="dxa"/>
        <w:tblLayout w:type="fixed"/>
        <w:tblCellMar>
          <w:top w:w="28" w:type="dxa"/>
          <w:left w:w="28" w:type="dxa"/>
          <w:bottom w:w="28" w:type="dxa"/>
          <w:right w:w="28" w:type="dxa"/>
        </w:tblCellMar>
      </w:tblPr>
      <w:tblGrid>
        <w:gridCol w:w="124"/>
        <w:gridCol w:w="31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46" w:type="dxa"/>
        <w:jc w:val="left"/>
        <w:tblInd w:w="0" w:type="dxa"/>
        <w:tblLayout w:type="fixed"/>
        <w:tblCellMar>
          <w:top w:w="28" w:type="dxa"/>
          <w:left w:w="28" w:type="dxa"/>
          <w:bottom w:w="28" w:type="dxa"/>
          <w:right w:w="28" w:type="dxa"/>
        </w:tblCellMar>
      </w:tblPr>
      <w:tblGrid>
        <w:gridCol w:w="124"/>
        <w:gridCol w:w="31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 pursuant to Rule 14d-2(b) under the Exchange Act (17 CFR 240.14d-2(b))</w:t>
            </w:r>
          </w:p>
        </w:tc>
      </w:tr>
    </w:tbl>
    <w:tbl>
      <w:tblPr>
        <w:tblW w:w="9486" w:type="dxa"/>
        <w:jc w:val="left"/>
        <w:tblInd w:w="0" w:type="dxa"/>
        <w:tblLayout w:type="fixed"/>
        <w:tblCellMar>
          <w:top w:w="28" w:type="dxa"/>
          <w:left w:w="28" w:type="dxa"/>
          <w:bottom w:w="28" w:type="dxa"/>
          <w:right w:w="28" w:type="dxa"/>
        </w:tblCellMar>
      </w:tblPr>
      <w:tblGrid>
        <w:gridCol w:w="124"/>
        <w:gridCol w:w="31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Pre-commencement communication pursuant to Rule 13e-4(c) under the Exchange Act (17 CFR 240.13e-4(c))</w:t>
            </w:r>
          </w:p>
          <w:p>
            <w:pPr>
              <w:pStyle w:val="TableContents"/>
              <w:bidi w:val="0"/>
              <w:spacing w:before="0" w:after="283"/>
              <w:jc w:val="left"/>
              <w:rPr/>
            </w:pPr>
            <w:r>
              <w:rPr/>
              <w:t> </w:t>
            </w:r>
          </w:p>
        </w:tc>
      </w:tr>
    </w:tbl>
    <w:p>
      <w:pPr>
        <w:pStyle w:val="TextBody"/>
        <w:bidi w:val="0"/>
        <w:spacing w:before="120" w:after="12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7465" w:type="dxa"/>
        <w:jc w:val="left"/>
        <w:tblInd w:w="0" w:type="dxa"/>
        <w:tblLayout w:type="fixed"/>
        <w:tblCellMar>
          <w:top w:w="28" w:type="dxa"/>
          <w:left w:w="28" w:type="dxa"/>
          <w:bottom w:w="28" w:type="dxa"/>
          <w:right w:w="28" w:type="dxa"/>
        </w:tblCellMar>
      </w:tblPr>
      <w:tblGrid>
        <w:gridCol w:w="2326"/>
        <w:gridCol w:w="146"/>
        <w:gridCol w:w="1366"/>
        <w:gridCol w:w="146"/>
        <w:gridCol w:w="348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32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136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232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Common Stock, $.01 par value</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136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STRT</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348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Global Stock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16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777" w:type="dxa"/>
        <w:jc w:val="left"/>
        <w:tblInd w:w="0" w:type="dxa"/>
        <w:tblLayout w:type="fixed"/>
        <w:tblCellMar>
          <w:top w:w="28" w:type="dxa"/>
          <w:left w:w="28" w:type="dxa"/>
          <w:bottom w:w="28" w:type="dxa"/>
          <w:right w:w="28" w:type="dxa"/>
        </w:tblCellMar>
      </w:tblPr>
      <w:tblGrid>
        <w:gridCol w:w="1051"/>
        <w:gridCol w:w="4726"/>
      </w:tblGrid>
      <w:tr>
        <w:trPr/>
        <w:tc>
          <w:tcPr>
            <w:tcW w:w="1051" w:type="dxa"/>
            <w:tcBorders/>
            <w:vAlign w:val="center"/>
          </w:tcPr>
          <w:p>
            <w:pPr>
              <w:pStyle w:val="TableContents"/>
              <w:bidi w:val="0"/>
              <w:spacing w:before="0" w:after="283"/>
              <w:jc w:val="left"/>
              <w:rPr>
                <w:sz w:val="4"/>
                <w:szCs w:val="4"/>
              </w:rPr>
            </w:pPr>
            <w:r>
              <w:rPr>
                <w:sz w:val="4"/>
                <w:szCs w:val="4"/>
              </w:rPr>
            </w:r>
          </w:p>
        </w:tc>
        <w:tc>
          <w:tcPr>
            <w:tcW w:w="4726"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b/>
                <w:color w:val="000000"/>
                <w:sz w:val="22"/>
              </w:rPr>
            </w:pPr>
            <w:r>
              <w:rPr>
                <w:rFonts w:ascii="Times New Roman" w:hAnsi="Times New Roman"/>
                <w:b/>
                <w:color w:val="000000"/>
                <w:sz w:val="22"/>
              </w:rPr>
              <w:t>Item 2.02</w:t>
            </w:r>
          </w:p>
        </w:tc>
        <w:tc>
          <w:tcPr>
            <w:tcW w:w="472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Times New Roman" w:hAnsi="Times New Roman"/>
                <w:b/>
                <w:color w:val="000000"/>
                <w:sz w:val="22"/>
              </w:rPr>
              <w:t>Results of Operations and Financial Condition</w:t>
            </w:r>
            <w:r>
              <w:rPr>
                <w:rFonts w:ascii="Times New Roman" w:hAnsi="Times New Roman"/>
                <w:color w:val="000000"/>
                <w:sz w:val="22"/>
              </w:rPr>
              <w:t>.</w:t>
            </w:r>
          </w:p>
        </w:tc>
      </w:tr>
    </w:tbl>
    <w:p>
      <w:pPr>
        <w:pStyle w:val="TextBody"/>
        <w:bidi w:val="0"/>
        <w:spacing w:before="120" w:after="160"/>
        <w:jc w:val="both"/>
        <w:rPr>
          <w:rFonts w:ascii="Times New Roman" w:hAnsi="Times New Roman"/>
          <w:sz w:val="20"/>
        </w:rPr>
      </w:pPr>
      <w:r>
        <w:rPr>
          <w:rFonts w:ascii="Times New Roman" w:hAnsi="Times New Roman"/>
          <w:color w:val="000000"/>
          <w:sz w:val="22"/>
        </w:rPr>
        <w:t>On February 5, 2026, Strattec Security Corporation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issued a press release (the “</w:t>
      </w:r>
      <w:r>
        <w:rPr>
          <w:rFonts w:ascii="Times New Roman" w:hAnsi="Times New Roman"/>
          <w:color w:val="000000"/>
          <w:sz w:val="22"/>
          <w:u w:val="single"/>
        </w:rPr>
        <w:t>Press Release</w:t>
      </w:r>
      <w:r>
        <w:rPr>
          <w:rFonts w:ascii="Times New Roman" w:hAnsi="Times New Roman"/>
          <w:color w:val="000000"/>
          <w:sz w:val="20"/>
        </w:rPr>
        <w:t>”</w:t>
      </w:r>
      <w:r>
        <w:rPr>
          <w:rFonts w:ascii="Times New Roman" w:hAnsi="Times New Roman"/>
          <w:color w:val="000000"/>
          <w:sz w:val="22"/>
        </w:rPr>
        <w:t>) announcing results for the fiscal second quarter ended December 28, 2025. A copy of the Press Release is attached as Exhibit 99.1 to this Current Report on Form 8-K.</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Times New Roman" w:hAnsi="Times New Roman"/>
          <w:color w:val="000000"/>
          <w:sz w:val="22"/>
        </w:rPr>
        <w:t xml:space="preserve">Pursuant to General Instruction B.2 of Current Report on Form 8-K, the information in this Item 2.02 and Exhibit 99.1 is being furnished and shall not be deemed to be “filed” for purposes of Section 18 of the </w:t>
      </w:r>
      <w:r>
        <w:rPr>
          <w:rFonts w:ascii="Times New Roman" w:hAnsi="Times New Roman"/>
          <w:color w:val="000000"/>
          <w:sz w:val="22"/>
          <w:u w:val="single"/>
        </w:rPr>
        <w:t>Securities Exchange Act of 1934</w:t>
      </w:r>
      <w:r>
        <w:rPr>
          <w:rFonts w:ascii="Times New Roman" w:hAnsi="Times New Roman"/>
          <w:color w:val="000000"/>
          <w:sz w:val="22"/>
        </w:rPr>
        <w:t>, as amended (the “</w:t>
      </w:r>
      <w:r>
        <w:rPr>
          <w:rFonts w:ascii="Times New Roman" w:hAnsi="Times New Roman"/>
          <w:color w:val="000000"/>
          <w:sz w:val="22"/>
          <w:u w:val="single"/>
        </w:rPr>
        <w:t>Exchange Act</w:t>
      </w:r>
      <w:r>
        <w:rPr>
          <w:rFonts w:ascii="Times New Roman" w:hAnsi="Times New Roman"/>
          <w:color w:val="000000"/>
          <w:sz w:val="20"/>
        </w:rPr>
        <w:t>”</w:t>
      </w:r>
      <w:r>
        <w:rPr>
          <w:rFonts w:ascii="Times New Roman" w:hAnsi="Times New Roman"/>
          <w:color w:val="000000"/>
          <w:sz w:val="22"/>
        </w:rPr>
        <w:t xml:space="preserve">), or otherwise subject to the liability of that section. Furthermore, the information in this Item 2.02 and Exhibit 99.1 shall not be deemed to be incorporated by reference into the filings of the Company under the </w:t>
      </w:r>
      <w:r>
        <w:rPr>
          <w:rFonts w:ascii="Times New Roman" w:hAnsi="Times New Roman"/>
          <w:color w:val="000000"/>
          <w:sz w:val="22"/>
          <w:u w:val="single"/>
        </w:rPr>
        <w:t>Securities Act of 1933</w:t>
      </w:r>
      <w:r>
        <w:rPr>
          <w:rFonts w:ascii="Times New Roman" w:hAnsi="Times New Roman"/>
          <w:color w:val="000000"/>
          <w:sz w:val="22"/>
        </w:rPr>
        <w:t>, as amended (the “</w:t>
      </w:r>
      <w:r>
        <w:rPr>
          <w:rFonts w:ascii="Times New Roman" w:hAnsi="Times New Roman"/>
          <w:color w:val="000000"/>
          <w:sz w:val="22"/>
          <w:u w:val="single"/>
        </w:rPr>
        <w:t>Securities Act</w:t>
      </w:r>
      <w:r>
        <w:rPr>
          <w:rFonts w:ascii="Times New Roman" w:hAnsi="Times New Roman"/>
          <w:color w:val="000000"/>
          <w:sz w:val="20"/>
        </w:rPr>
        <w:t>”</w:t>
      </w:r>
      <w:r>
        <w:rPr>
          <w:rFonts w:ascii="Times New Roman" w:hAnsi="Times New Roman"/>
          <w:color w:val="000000"/>
          <w:sz w:val="22"/>
        </w:rPr>
        <w:t>), except as may be expressly set forth by specific reference in such filing.</w:t>
      </w:r>
    </w:p>
    <w:tbl>
      <w:tblPr>
        <w:tblW w:w="3767" w:type="dxa"/>
        <w:jc w:val="left"/>
        <w:tblInd w:w="0" w:type="dxa"/>
        <w:tblLayout w:type="fixed"/>
        <w:tblCellMar>
          <w:top w:w="28" w:type="dxa"/>
          <w:left w:w="28" w:type="dxa"/>
          <w:bottom w:w="28" w:type="dxa"/>
          <w:right w:w="28" w:type="dxa"/>
        </w:tblCellMar>
      </w:tblPr>
      <w:tblGrid>
        <w:gridCol w:w="1051"/>
        <w:gridCol w:w="2716"/>
      </w:tblGrid>
      <w:tr>
        <w:trPr/>
        <w:tc>
          <w:tcPr>
            <w:tcW w:w="1051"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b/>
                <w:color w:val="000000"/>
                <w:sz w:val="22"/>
              </w:rPr>
            </w:pPr>
            <w:r>
              <w:rPr>
                <w:rFonts w:ascii="Times New Roman" w:hAnsi="Times New Roman"/>
                <w:b/>
                <w:color w:val="000000"/>
                <w:sz w:val="22"/>
              </w:rPr>
              <w:t>Item 7.01</w:t>
            </w:r>
          </w:p>
        </w:tc>
        <w:tc>
          <w:tcPr>
            <w:tcW w:w="2716" w:type="dxa"/>
            <w:tcBorders/>
            <w:shd w:fill="FFFFFF" w:val="clear"/>
            <w:tcMar>
              <w:top w:w="0" w:type="dxa"/>
              <w:left w:w="0" w:type="dxa"/>
              <w:bottom w:w="0" w:type="dxa"/>
              <w:right w:w="0" w:type="dxa"/>
            </w:tcMar>
            <w:vAlign w:val="center"/>
          </w:tcPr>
          <w:p>
            <w:pPr>
              <w:pStyle w:val="TableContents"/>
              <w:bidi w:val="0"/>
              <w:spacing w:before="0" w:after="160"/>
              <w:jc w:val="both"/>
              <w:rPr>
                <w:rFonts w:ascii="Times New Roman" w:hAnsi="Times New Roman"/>
                <w:b/>
                <w:color w:val="000000"/>
                <w:sz w:val="22"/>
              </w:rPr>
            </w:pPr>
            <w:r>
              <w:rPr>
                <w:rFonts w:ascii="Times New Roman" w:hAnsi="Times New Roman"/>
                <w:b/>
                <w:color w:val="000000"/>
                <w:sz w:val="22"/>
              </w:rPr>
              <w:t>Regulation FD Disclosure.</w:t>
            </w:r>
          </w:p>
        </w:tc>
      </w:tr>
    </w:tbl>
    <w:p>
      <w:pPr>
        <w:pStyle w:val="TextBody"/>
        <w:bidi w:val="0"/>
        <w:spacing w:before="120" w:after="160"/>
        <w:jc w:val="both"/>
        <w:rPr>
          <w:rFonts w:ascii="Times New Roman" w:hAnsi="Times New Roman"/>
          <w:color w:val="000000"/>
          <w:sz w:val="22"/>
        </w:rPr>
      </w:pPr>
      <w:r>
        <w:rPr>
          <w:rFonts w:ascii="Times New Roman" w:hAnsi="Times New Roman"/>
          <w:color w:val="000000"/>
          <w:sz w:val="22"/>
        </w:rPr>
        <w:t>As described in “Item 2.02 Results of Operations and Financial Condition” above, on February 5, 2026, the Company issued a Press Release announcing earnings results for the fiscal second quarter ended December 28, 2025. The Press Release is attached as Exhibit 99.1 to this Current Report on Form 8-K.</w:t>
      </w:r>
    </w:p>
    <w:p>
      <w:pPr>
        <w:pStyle w:val="TextBody"/>
        <w:bidi w:val="0"/>
        <w:spacing w:before="0" w:after="160"/>
        <w:jc w:val="both"/>
        <w:rPr>
          <w:rFonts w:ascii="Times New Roman" w:hAnsi="Times New Roman"/>
          <w:sz w:val="20"/>
        </w:rPr>
      </w:pPr>
      <w:r>
        <w:rPr>
          <w:rFonts w:ascii="Times New Roman" w:hAnsi="Times New Roman"/>
          <w:color w:val="000000"/>
          <w:sz w:val="22"/>
        </w:rPr>
        <w:t xml:space="preserve">Pursuant to General Instruction B.2 of Current Report on Form 8-K, the information in this Item 7.01 and Exhibit 99.1 is being furnished and shall not be deemed to be “filed” for purposes of Section 18 of the </w:t>
      </w:r>
      <w:r>
        <w:rPr>
          <w:rFonts w:ascii="Times New Roman" w:hAnsi="Times New Roman"/>
          <w:color w:val="000000"/>
          <w:sz w:val="22"/>
          <w:u w:val="single"/>
        </w:rPr>
        <w:t>Exchange Act</w:t>
      </w:r>
      <w:r>
        <w:rPr>
          <w:rFonts w:ascii="Times New Roman" w:hAnsi="Times New Roman"/>
          <w:color w:val="000000"/>
          <w:sz w:val="22"/>
        </w:rPr>
        <w:t xml:space="preserve">, or otherwise subject to the liability of that section. Furthermore, the information in this Item 7.01 and Exhibit 99.1 shall not be deemed to be incorporated by reference into the filings of the Company under the </w:t>
      </w:r>
      <w:r>
        <w:rPr>
          <w:rFonts w:ascii="Times New Roman" w:hAnsi="Times New Roman"/>
          <w:color w:val="000000"/>
          <w:sz w:val="22"/>
          <w:u w:val="single"/>
        </w:rPr>
        <w:t>Securities Act</w:t>
      </w:r>
      <w:r>
        <w:rPr>
          <w:rFonts w:ascii="Times New Roman" w:hAnsi="Times New Roman"/>
          <w:color w:val="000000"/>
          <w:sz w:val="22"/>
        </w:rPr>
        <w:t>, except as may be expressly set forth by specific reference in such filing.</w:t>
      </w:r>
    </w:p>
    <w:tbl>
      <w:tblPr>
        <w:tblW w:w="4562" w:type="dxa"/>
        <w:jc w:val="left"/>
        <w:tblInd w:w="0" w:type="dxa"/>
        <w:tblLayout w:type="fixed"/>
        <w:tblCellMar>
          <w:top w:w="28" w:type="dxa"/>
          <w:left w:w="28" w:type="dxa"/>
          <w:bottom w:w="28" w:type="dxa"/>
          <w:right w:w="28" w:type="dxa"/>
        </w:tblCellMar>
      </w:tblPr>
      <w:tblGrid>
        <w:gridCol w:w="1051"/>
        <w:gridCol w:w="3511"/>
      </w:tblGrid>
      <w:tr>
        <w:trPr/>
        <w:tc>
          <w:tcPr>
            <w:tcW w:w="105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b/>
                <w:color w:val="000000"/>
                <w:sz w:val="22"/>
              </w:rPr>
            </w:pPr>
            <w:r>
              <w:rPr>
                <w:rFonts w:ascii="Times New Roman" w:hAnsi="Times New Roman"/>
                <w:b/>
                <w:color w:val="000000"/>
                <w:sz w:val="22"/>
              </w:rPr>
              <w:t>Item 9.01</w:t>
            </w:r>
          </w:p>
        </w:tc>
        <w:tc>
          <w:tcPr>
            <w:tcW w:w="351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b/>
                <w:color w:val="000000"/>
                <w:sz w:val="22"/>
              </w:rPr>
            </w:pPr>
            <w:r>
              <w:rPr>
                <w:rFonts w:ascii="Times New Roman" w:hAnsi="Times New Roman"/>
                <w:b/>
                <w:color w:val="000000"/>
                <w:sz w:val="22"/>
              </w:rPr>
              <w:t>Financial Statements and Exhibits.</w:t>
            </w:r>
          </w:p>
        </w:tc>
      </w:tr>
    </w:tbl>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Exhibits</w:t>
      </w:r>
      <w:r>
        <w:rPr>
          <w:rFonts w:ascii="Times New Roman" w:hAnsi="Times New Roman"/>
          <w:color w:val="000000"/>
          <w:sz w:val="22"/>
        </w:rPr>
        <w:t>.</w:t>
      </w:r>
    </w:p>
    <w:p>
      <w:pPr>
        <w:pStyle w:val="TextBody"/>
        <w:bidi w:val="0"/>
        <w:jc w:val="left"/>
        <w:rPr/>
      </w:pPr>
      <w:r>
        <w:rPr/>
        <w:t> </w:t>
      </w:r>
    </w:p>
    <w:tbl>
      <w:tblPr>
        <w:tblW w:w="9887" w:type="dxa"/>
        <w:jc w:val="left"/>
        <w:tblInd w:w="0" w:type="dxa"/>
        <w:tblLayout w:type="fixed"/>
        <w:tblCellMar>
          <w:top w:w="28" w:type="dxa"/>
          <w:left w:w="28" w:type="dxa"/>
          <w:bottom w:w="28" w:type="dxa"/>
          <w:right w:w="28" w:type="dxa"/>
        </w:tblCellMar>
      </w:tblPr>
      <w:tblGrid>
        <w:gridCol w:w="1621"/>
        <w:gridCol w:w="8266"/>
      </w:tblGrid>
      <w:tr>
        <w:trPr/>
        <w:tc>
          <w:tcPr>
            <w:tcW w:w="1621" w:type="dxa"/>
            <w:tcBorders/>
            <w:vAlign w:val="center"/>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Exhibit </w:t>
            </w:r>
            <w:r>
              <w:rPr>
                <w:rFonts w:ascii="Times New Roman" w:hAnsi="Times New Roman"/>
                <w:color w:val="000000"/>
                <w:sz w:val="22"/>
                <w:u w:val="single"/>
              </w:rPr>
              <w:t>Number</w:t>
            </w:r>
          </w:p>
        </w:tc>
        <w:tc>
          <w:tcPr>
            <w:tcW w:w="826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Description</w:t>
            </w:r>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99.1</w:t>
            </w:r>
          </w:p>
        </w:tc>
        <w:tc>
          <w:tcPr>
            <w:tcW w:w="8266" w:type="dxa"/>
            <w:tcBorders/>
            <w:tcMar>
              <w:top w:w="0" w:type="dxa"/>
              <w:left w:w="0" w:type="dxa"/>
              <w:bottom w:w="0" w:type="dxa"/>
              <w:right w:w="0" w:type="dxa"/>
            </w:tcMar>
            <w:vAlign w:val="center"/>
          </w:tcPr>
          <w:p>
            <w:pPr>
              <w:pStyle w:val="TableContents"/>
              <w:bidi w:val="0"/>
              <w:spacing w:before="0" w:after="283"/>
              <w:jc w:val="left"/>
              <w:rPr/>
            </w:pPr>
            <w:hyperlink w:anchor="strt-ex99_1.htm">
              <w:r>
                <w:rPr>
                  <w:rStyle w:val="InternetLink"/>
                  <w:rFonts w:ascii="Times New Roman" w:hAnsi="Times New Roman"/>
                  <w:color w:val="0000FF"/>
                  <w:sz w:val="22"/>
                  <w:u w:val="single"/>
                </w:rPr>
                <w:t>Press Release of Strattec Security Corporation, issued February 5, 2026</w:t>
              </w:r>
            </w:hyperlink>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104</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104 – 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SIGNATURE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STRATTEC SECURITY CORPORATION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By:</w:t>
      </w:r>
      <w:r>
        <w:rPr>
          <w:rFonts w:ascii="Times New Roman" w:hAnsi="Times New Roman"/>
          <w:color w:val="000000"/>
          <w:sz w:val="22"/>
          <w:u w:val="single"/>
        </w:rPr>
        <w:t xml:space="preserve">/s/ Matthew P. Pauli </w:t>
      </w:r>
    </w:p>
    <w:p>
      <w:pPr>
        <w:pStyle w:val="TextBody"/>
        <w:bidi w:val="0"/>
        <w:jc w:val="left"/>
        <w:rPr>
          <w:rFonts w:ascii="Times New Roman" w:hAnsi="Times New Roman"/>
          <w:sz w:val="20"/>
        </w:rPr>
      </w:pPr>
      <w:r>
        <w:rPr>
          <w:rFonts w:ascii="Times New Roman" w:hAnsi="Times New Roman"/>
          <w:color w:val="000000"/>
          <w:sz w:val="22"/>
        </w:rPr>
        <w:t>Matthew P. Pauli, Senior Vice President and</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Chief Financial Officer</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Date: February 5,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b/>
          <w:color w:val="000000"/>
          <w:sz w:val="24"/>
        </w:rPr>
      </w:pPr>
      <w:bookmarkStart w:id="2" w:name="strt-ex99_1.htm"/>
      <w:bookmarkStart w:id="3" w:name="ksstrtex99_1"/>
      <w:bookmarkEnd w:id="2"/>
      <w:bookmarkEnd w:id="3"/>
      <w:r>
        <w:rPr>
          <w:rFonts w:ascii="Times New Roman" w:hAnsi="Times New Roman"/>
          <w:b/>
          <w:color w:val="000000"/>
          <w:sz w:val="24"/>
        </w:rPr>
        <w:t>Exhibit 99.1</w:t>
      </w:r>
      <w:r>
        <w:br w:type="page"/>
      </w:r>
    </w:p>
    <w:p>
      <w:pPr>
        <w:pStyle w:val="TextBody"/>
        <w:bidi w:val="0"/>
        <w:jc w:val="right"/>
        <w:rPr/>
      </w:pPr>
      <w:r>
        <w:rPr/>
        <w:t> </w:t>
      </w:r>
    </w:p>
    <w:p>
      <w:pPr>
        <w:pStyle w:val="TextBody"/>
        <w:bidi w:val="0"/>
        <w:jc w:val="right"/>
        <w:rPr/>
      </w:pPr>
      <w:r>
        <w:rPr/>
        <w:drawing>
          <wp:inline distT="0" distB="0" distL="0" distR="0">
            <wp:extent cx="3248025" cy="523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
                    <a:stretch>
                      <a:fillRect/>
                    </a:stretch>
                  </pic:blipFill>
                  <pic:spPr bwMode="auto">
                    <a:xfrm>
                      <a:off x="0" y="0"/>
                      <a:ext cx="3248025" cy="523875"/>
                    </a:xfrm>
                    <a:prstGeom prst="rect">
                      <a:avLst/>
                    </a:prstGeom>
                  </pic:spPr>
                </pic:pic>
              </a:graphicData>
            </a:graphic>
          </wp:inline>
        </w:drawing>
      </w:r>
      <w:r>
        <w:rPr>
          <w:color w:val="000000"/>
        </w:rPr>
        <w:t xml:space="preserve"> </w:t>
      </w:r>
      <w:r>
        <w:rPr>
          <w:rFonts w:ascii="Arial" w:hAnsi="Arial"/>
          <w:color w:val="000000"/>
          <w:sz w:val="72"/>
        </w:rPr>
        <w:t>News Release</w:t>
      </w:r>
    </w:p>
    <w:p>
      <w:pPr>
        <w:pStyle w:val="TextBody"/>
        <w:bidi w:val="0"/>
        <w:jc w:val="left"/>
        <w:rPr/>
      </w:pPr>
      <w:r>
        <w:rPr/>
        <w:t> </w:t>
      </w:r>
    </w:p>
    <w:p>
      <w:pPr>
        <w:pStyle w:val="TextBody"/>
        <w:bidi w:val="0"/>
        <w:jc w:val="left"/>
        <w:rPr>
          <w:rFonts w:ascii="Times New Roman" w:hAnsi="Times New Roman"/>
          <w:sz w:val="20"/>
        </w:rPr>
      </w:pPr>
      <w:r>
        <w:rPr>
          <w:rFonts w:ascii="Arial Nova Light;sans-serif" w:hAnsi="Arial Nova Light;sans-serif"/>
          <w:b w:val="false"/>
          <w:i/>
          <w:color w:val="333333"/>
          <w:sz w:val="20"/>
        </w:rPr>
        <w:t>3333 West Good Hope Rd.  Milwaukee, Wisconsin 53209</w:t>
      </w:r>
      <w:r>
        <w:rPr>
          <w:rFonts w:ascii="Times New Roman" w:hAnsi="Times New Roman"/>
          <w:color w:val="333333"/>
          <w:sz w:val="20"/>
        </w:rPr>
        <w:t xml:space="preserve"> </w:t>
      </w:r>
    </w:p>
    <w:p>
      <w:pPr>
        <w:pStyle w:val="TextBody"/>
        <w:bidi w:val="0"/>
        <w:spacing w:before="120" w:after="120"/>
        <w:jc w:val="left"/>
        <w:rPr>
          <w:rFonts w:ascii="Arial Nova Light;sans-serif" w:hAnsi="Arial Nova Light;sans-serif"/>
          <w:b w:val="false"/>
          <w:color w:val="000000"/>
          <w:sz w:val="20"/>
        </w:rPr>
      </w:pPr>
      <w:r>
        <w:rPr>
          <w:rFonts w:ascii="Arial Nova Light;sans-serif" w:hAnsi="Arial Nova Light;sans-serif"/>
          <w:b w:val="false"/>
          <w:color w:val="000000"/>
          <w:sz w:val="20"/>
        </w:rPr>
        <w:t xml:space="preserve">IMMEDIATE RELEASE </w:t>
      </w:r>
    </w:p>
    <w:p>
      <w:pPr>
        <w:pStyle w:val="TextBody"/>
        <w:bidi w:val="0"/>
        <w:spacing w:before="0" w:after="240"/>
        <w:jc w:val="center"/>
        <w:rPr>
          <w:rFonts w:ascii="Times New Roman" w:hAnsi="Times New Roman"/>
          <w:sz w:val="20"/>
        </w:rPr>
      </w:pPr>
      <w:r>
        <w:rPr>
          <w:rFonts w:ascii="Arial Nova Light;sans-serif" w:hAnsi="Arial Nova Light;sans-serif"/>
          <w:b w:val="false"/>
          <w:color w:val="000000"/>
          <w:sz w:val="28"/>
        </w:rPr>
        <w:t>Strattec Generated $14 million in Cash from Operations in</w:t>
        <w:br/>
        <w:t>Second Quarter Fiscal 2026</w:t>
      </w:r>
      <w:r>
        <w:rPr>
          <w:rFonts w:ascii="Times New Roman" w:hAnsi="Times New Roman"/>
          <w:color w:val="000000"/>
          <w:sz w:val="20"/>
        </w:rPr>
        <w:t xml:space="preserve">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Arial Nova Light;sans-serif" w:hAnsi="Arial Nova Light;sans-serif"/>
          <w:b w:val="false"/>
          <w:i/>
          <w:color w:val="000000"/>
          <w:sz w:val="22"/>
        </w:rPr>
      </w:pPr>
      <w:r>
        <w:rPr>
          <w:rFonts w:ascii="Arial Nova Light;sans-serif" w:hAnsi="Arial Nova Light;sans-serif"/>
          <w:b w:val="false"/>
          <w:i/>
          <w:color w:val="000000"/>
          <w:sz w:val="22"/>
        </w:rPr>
        <w:t xml:space="preserve">Sales for the quarter grew 6% to $137.5 million driven by pricing, new program launches, customer inventory builds and select platform successes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Arial Nova Light;sans-serif" w:hAnsi="Arial Nova Light;sans-serif"/>
          <w:b w:val="false"/>
          <w:i/>
          <w:color w:val="000000"/>
          <w:sz w:val="22"/>
        </w:rPr>
      </w:pPr>
      <w:r>
        <w:rPr>
          <w:rFonts w:ascii="Arial Nova Light;sans-serif" w:hAnsi="Arial Nova Light;sans-serif"/>
          <w:b w:val="false"/>
          <w:i/>
          <w:color w:val="000000"/>
          <w:sz w:val="22"/>
        </w:rPr>
        <w:t xml:space="preserve">Gross margin for the quarter was 16.5%, compared with 13.2% in the prior year period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Arial Nova Light;sans-serif" w:hAnsi="Arial Nova Light;sans-serif"/>
          <w:b w:val="false"/>
          <w:i/>
          <w:color w:val="000000"/>
          <w:sz w:val="22"/>
        </w:rPr>
      </w:pPr>
      <w:r>
        <w:rPr>
          <w:rFonts w:ascii="Arial Nova Light;sans-serif" w:hAnsi="Arial Nova Light;sans-serif"/>
          <w:b w:val="false"/>
          <w:i/>
          <w:color w:val="000000"/>
          <w:sz w:val="22"/>
        </w:rPr>
        <w:t xml:space="preserve">Net income attributable to Strattec for the second quarter fiscal 2026 was $4.9 million, or </w:t>
        <w:br/>
        <w:t>$1.20 per diluted share; compared with $0.32 per diluted share in the prior year period</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pPr>
      <w:r>
        <w:rPr>
          <w:rFonts w:ascii="Arial Nova Light;sans-serif" w:hAnsi="Arial Nova Light;sans-serif"/>
          <w:b w:val="false"/>
          <w:i/>
          <w:color w:val="000000"/>
          <w:sz w:val="22"/>
        </w:rPr>
        <w:t>Adjusted EBITDA</w:t>
      </w:r>
      <w:r>
        <w:rPr>
          <w:rFonts w:ascii="Arial Nova Light;sans-serif" w:hAnsi="Arial Nova Light;sans-serif"/>
          <w:b w:val="false"/>
          <w:i/>
          <w:color w:val="000000"/>
          <w:sz w:val="15"/>
        </w:rPr>
        <w:t>1</w:t>
      </w:r>
      <w:r>
        <w:rPr>
          <w:color w:val="000000"/>
        </w:rPr>
        <w:t xml:space="preserve"> </w:t>
      </w:r>
      <w:r>
        <w:rPr>
          <w:rFonts w:ascii="Arial Nova Light;sans-serif" w:hAnsi="Arial Nova Light;sans-serif"/>
          <w:b w:val="false"/>
          <w:i/>
          <w:color w:val="000000"/>
          <w:sz w:val="22"/>
        </w:rPr>
        <w:t xml:space="preserve">was $12.3 million, or 8.9% of sales, compared with $8.0 million in the prior year second quarter.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Arial Nova Light;sans-serif" w:hAnsi="Arial Nova Light;sans-serif"/>
          <w:b w:val="false"/>
          <w:i/>
          <w:color w:val="000000"/>
          <w:sz w:val="22"/>
        </w:rPr>
      </w:pPr>
      <w:r>
        <w:rPr>
          <w:rFonts w:ascii="Arial Nova Light;sans-serif" w:hAnsi="Arial Nova Light;sans-serif"/>
          <w:b w:val="false"/>
          <w:i/>
          <w:color w:val="000000"/>
          <w:sz w:val="22"/>
        </w:rPr>
        <w:t>Strong balance sheet provides financial flexibility; $99.0 million in cash and $2.5 million in debt</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Arial Nova Light;sans-serif" w:hAnsi="Arial Nova Light;sans-serif"/>
          <w:b w:val="false"/>
          <w:i/>
          <w:color w:val="000000"/>
          <w:sz w:val="22"/>
        </w:rPr>
      </w:pPr>
      <w:r>
        <w:rPr>
          <w:rFonts w:ascii="Arial Nova Light;sans-serif" w:hAnsi="Arial Nova Light;sans-serif"/>
          <w:b w:val="false"/>
          <w:i/>
          <w:color w:val="000000"/>
          <w:sz w:val="22"/>
        </w:rPr>
        <w:t>Furthered fiscal 2026 restructuring actions which collectively are expected to result in annualized savings of $3.4 million</w:t>
      </w:r>
    </w:p>
    <w:p>
      <w:pPr>
        <w:pStyle w:val="TextBody"/>
        <w:bidi w:val="0"/>
        <w:spacing w:before="240" w:after="283"/>
        <w:jc w:val="left"/>
        <w:rPr>
          <w:rFonts w:ascii="Times New Roman" w:hAnsi="Times New Roman"/>
          <w:sz w:val="20"/>
        </w:rPr>
      </w:pPr>
      <w:r>
        <w:rPr>
          <w:rFonts w:ascii="Arial Nova Light;sans-serif" w:hAnsi="Arial Nova Light;sans-serif"/>
          <w:b w:val="false"/>
          <w:color w:val="000000"/>
          <w:sz w:val="24"/>
        </w:rPr>
        <w:t xml:space="preserve">MILWAUKEE, WI, </w:t>
      </w:r>
      <w:r>
        <w:rPr>
          <w:rFonts w:ascii="Arial Nova Light;sans-serif" w:hAnsi="Arial Nova Light;sans-serif"/>
          <w:b w:val="false"/>
          <w:color w:val="000000"/>
          <w:sz w:val="22"/>
        </w:rPr>
        <w:t xml:space="preserve">February 5, 2026 – </w:t>
      </w:r>
      <w:r>
        <w:rPr>
          <w:rFonts w:ascii="Arial Nova Light;sans-serif" w:hAnsi="Arial Nova Light;sans-serif"/>
          <w:b w:val="false"/>
          <w:sz w:val="22"/>
        </w:rPr>
        <w:t>Strattec Security Corporation</w:t>
      </w:r>
      <w:r>
        <w:rPr>
          <w:rFonts w:ascii="Times New Roman" w:hAnsi="Times New Roman"/>
          <w:color w:val="000000"/>
          <w:sz w:val="20"/>
        </w:rPr>
        <w:t xml:space="preserve"> </w:t>
      </w:r>
      <w:r>
        <w:rPr>
          <w:rFonts w:ascii="Arial Nova Light;sans-serif" w:hAnsi="Arial Nova Light;sans-serif"/>
          <w:b w:val="false"/>
          <w:color w:val="000000"/>
          <w:sz w:val="22"/>
        </w:rPr>
        <w:t>(Nasdaq: STRT) (“Company” or “Strattec”), a leading provider of smart vehicle access, security and authorization solutions for the global automotive industry, reported financial results for its second quarter of fiscal year 2026, which ended December 28, 2025.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Nova Light;sans-serif" w:hAnsi="Arial Nova Light;sans-serif"/>
          <w:b w:val="false"/>
          <w:color w:val="000000"/>
          <w:sz w:val="22"/>
        </w:rPr>
        <w:t>Jennifer Slater, President and CEO of Strattec, said, “We delivered a solid second quarter despite market and supply chain headwinds and unfavorable foreign exchange trends. A focus on pricing and cost reductions protected our gross margin. That focus continued during the quarter as we offered a voluntary early retirement program and implemented additional restructuring actions in our operations in Mexico. We expect $3.4 million in annual savings from these actions. We continue to generate strong cash flow even as we are investing to improve our business.”</w:t>
      </w:r>
      <w:r>
        <w:rPr>
          <w:rFonts w:ascii="Times New Roman" w:hAnsi="Times New Roman"/>
          <w:color w:val="000000"/>
          <w:sz w:val="20"/>
        </w:rPr>
        <w:t xml:space="preserve"> </w:t>
      </w:r>
    </w:p>
    <w:p>
      <w:pPr>
        <w:pStyle w:val="TextBody"/>
        <w:bidi w:val="0"/>
        <w:spacing w:before="120" w:after="283"/>
        <w:jc w:val="left"/>
        <w:rPr/>
      </w:pPr>
      <w:r>
        <w:rPr>
          <w:color w:val="000000"/>
        </w:rPr>
        <w:t>“</w:t>
      </w:r>
      <w:r>
        <w:rPr>
          <w:rFonts w:ascii="Arial Nova Light;sans-serif" w:hAnsi="Arial Nova Light;sans-serif"/>
          <w:b w:val="false"/>
          <w:color w:val="000000"/>
          <w:sz w:val="22"/>
        </w:rPr>
        <w:t>The second half of fiscal 2026 is expected to have a softer U.S. automotive production market and continued FX headwinds. We remain centered on transforming Strattec into a better business with stronger earnings power and a predictable path for growth. We will continue to find ways to improve productivity while investing in creating the products that will provide vehicle access solutions for the future,” Ms. Slater concluded.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Arial Nova Light;sans-serif" w:hAnsi="Arial Nova Light;sans-serif"/>
          <w:b w:val="false"/>
          <w:color w:val="000000"/>
          <w:sz w:val="16"/>
        </w:rPr>
        <w:t>Refer to “Use of Non-GAAP Financial Metrics and Additional Financial Information” as well as accompanying reconciliations to GAAP</w:t>
      </w:r>
    </w:p>
    <w:p>
      <w:pPr>
        <w:pStyle w:val="TextBody"/>
        <w:bidi w:val="0"/>
        <w:jc w:val="center"/>
        <w:rPr>
          <w:rFonts w:ascii="Arial Narrow;sans-serif" w:hAnsi="Arial Narrow;sans-serif"/>
          <w:color w:val="000000"/>
          <w:sz w:val="20"/>
        </w:rPr>
      </w:pPr>
      <w:r>
        <w:rPr>
          <w:rFonts w:ascii="Arial Narrow;sans-serif" w:hAnsi="Arial Narrow;sans-serif"/>
          <w:color w:val="000000"/>
          <w:sz w:val="20"/>
        </w:rPr>
        <w:t>-1-</w:t>
      </w:r>
    </w:p>
    <w:p>
      <w:pPr>
        <w:pStyle w:val="HorizontalLine"/>
        <w:pBdr>
          <w:bottom w:val="double" w:sz="2" w:space="0" w:color="808080"/>
        </w:pBdr>
        <w:bidi w:val="0"/>
        <w:spacing w:before="0" w:after="283"/>
        <w:jc w:val="left"/>
        <w:rPr/>
      </w:pPr>
      <w:r>
        <w:rPr/>
      </w:r>
    </w:p>
    <w:p>
      <w:pPr>
        <w:pStyle w:val="TextBody"/>
        <w:bidi w:val="0"/>
        <w:jc w:val="left"/>
        <w:rPr>
          <w:rFonts w:ascii="Arial Narrow;sans-serif" w:hAnsi="Arial Narrow;sans-serif"/>
          <w:b/>
          <w:color w:val="000000"/>
          <w:sz w:val="18"/>
        </w:rPr>
      </w:pPr>
      <w:r>
        <w:rPr>
          <w:rFonts w:ascii="Arial Narrow;sans-serif" w:hAnsi="Arial Narrow;sans-serif"/>
          <w:b/>
          <w:color w:val="000000"/>
          <w:sz w:val="18"/>
        </w:rPr>
        <w:t xml:space="preserve">Strattec Generated $14 million in Cash from Operations in Second Quarter Fiscal 2026 </w:t>
        <w:br/>
        <w:t>February 5, 2026</w:t>
      </w:r>
    </w:p>
    <w:p>
      <w:pPr>
        <w:pStyle w:val="TextBody"/>
        <w:bidi w:val="0"/>
        <w:jc w:val="left"/>
        <w:rPr>
          <w:rFonts w:ascii="Times New Roman" w:hAnsi="Times New Roman"/>
          <w:sz w:val="20"/>
        </w:rPr>
      </w:pPr>
      <w:r>
        <w:rPr>
          <w:rFonts w:ascii="Arial Narrow;sans-serif" w:hAnsi="Arial Narrow;sans-serif"/>
          <w:b/>
          <w:color w:val="000000"/>
          <w:sz w:val="18"/>
        </w:rPr>
        <w:t>Page 2</w:t>
      </w:r>
      <w:r>
        <w:rPr>
          <w:rFonts w:ascii="Times New Roman" w:hAnsi="Times New Roman"/>
          <w:color w:val="000000"/>
          <w:sz w:val="20"/>
        </w:rPr>
        <w:t xml:space="preserve"> </w:t>
      </w:r>
      <w:r>
        <w:rPr>
          <w:rFonts w:ascii="Arial Narrow;sans-serif" w:hAnsi="Arial Narrow;sans-serif"/>
          <w:b/>
          <w:color w:val="000000"/>
          <w:sz w:val="18"/>
        </w:rPr>
        <w:t>of 10</w:t>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Nova Light;sans-serif" w:hAnsi="Arial Nova Light;sans-serif"/>
          <w:b w:val="false"/>
          <w:i/>
          <w:color w:val="000000"/>
          <w:sz w:val="22"/>
        </w:rPr>
        <w:t>FY 2026 Second Quarter Financial Summary</w:t>
      </w:r>
      <w:r>
        <w:rPr>
          <w:rFonts w:ascii="Arial Nova Light;sans-serif" w:hAnsi="Arial Nova Light;sans-serif"/>
          <w:b w:val="false"/>
          <w:i/>
          <w:color w:val="000000"/>
          <w:sz w:val="24"/>
        </w:rPr>
        <w:br/>
      </w:r>
      <w:r>
        <w:rPr>
          <w:rFonts w:ascii="Arial Nova Light;sans-serif" w:hAnsi="Arial Nova Light;sans-serif"/>
          <w:b w:val="false"/>
          <w:i/>
          <w:color w:val="000000"/>
          <w:sz w:val="20"/>
        </w:rPr>
        <w:t>(compared with prior-year period, except where otherwise noted)</w:t>
      </w:r>
    </w:p>
    <w:p>
      <w:pPr>
        <w:pStyle w:val="TextBody"/>
        <w:bidi w:val="0"/>
        <w:spacing w:before="120" w:after="120"/>
        <w:jc w:val="left"/>
        <w:rPr>
          <w:rFonts w:ascii="Times New Roman" w:hAnsi="Times New Roman"/>
          <w:sz w:val="20"/>
        </w:rPr>
      </w:pPr>
      <w:r>
        <w:rPr>
          <w:rFonts w:ascii="Arial Nova Light;sans-serif" w:hAnsi="Arial Nova Light;sans-serif"/>
          <w:b w:val="false"/>
          <w:color w:val="000000"/>
          <w:sz w:val="22"/>
        </w:rPr>
        <w:t>Net sales were $137.5 million, an increase of $7.6 million, or 6%. Sales growth was driven by $3.1 million of pricing, $3.0 million associated with favorable sales mix and higher content value, $2.4 million in net new program launches and $1.4 million in tariff recovery more than offsetting $2.3 million in reduced market demand.</w:t>
      </w:r>
      <w:r>
        <w:rPr>
          <w:rFonts w:ascii="Times New Roman" w:hAnsi="Times New Roman"/>
          <w:color w:val="000000"/>
          <w:sz w:val="20"/>
        </w:rPr>
        <w:t xml:space="preserve"> </w:t>
      </w:r>
    </w:p>
    <w:p>
      <w:pPr>
        <w:pStyle w:val="TextBody"/>
        <w:bidi w:val="0"/>
        <w:jc w:val="left"/>
        <w:rPr>
          <w:rFonts w:ascii="Arial Nova Light;sans-serif" w:hAnsi="Arial Nova Light;sans-serif"/>
          <w:b w:val="false"/>
          <w:color w:val="000000"/>
          <w:sz w:val="22"/>
        </w:rPr>
      </w:pPr>
      <w:r>
        <w:rPr>
          <w:rFonts w:ascii="Arial Nova Light;sans-serif" w:hAnsi="Arial Nova Light;sans-serif"/>
          <w:b w:val="false"/>
          <w:color w:val="000000"/>
          <w:sz w:val="22"/>
        </w:rPr>
        <w:t>Gross profit increased $5.6 million to $22.7 million, while gross margin expanded 330 basis points. The improvement was primarily the result of pricing actions and the contribution from higher production volumes, complemented by $1.7 million in restructuring savings. This more than offset $0.9 million of incremental tariff costs, $1.2 million of higher labor costs in Mexico related to annual merit increases, and $1.6 million related to unfavorable foreign exchange rates.</w:t>
      </w:r>
    </w:p>
    <w:p>
      <w:pPr>
        <w:pStyle w:val="TextBody"/>
        <w:bidi w:val="0"/>
        <w:spacing w:before="120" w:after="283"/>
        <w:jc w:val="left"/>
        <w:rPr>
          <w:rFonts w:ascii="Times New Roman" w:hAnsi="Times New Roman"/>
          <w:sz w:val="20"/>
        </w:rPr>
      </w:pPr>
      <w:r>
        <w:rPr>
          <w:rFonts w:ascii="Arial Nova Light;sans-serif" w:hAnsi="Arial Nova Light;sans-serif"/>
          <w:b w:val="false"/>
          <w:color w:val="000000"/>
          <w:sz w:val="22"/>
        </w:rPr>
        <w:t>Selling, administrative and engineering (“SAE”) expenses increased $2.8 million to $17.9 million, or 13.0% of sales, compared with $15.0 million, or 11.6% of sales, in the prior-year period. Elevated SAE expenses included a $1.7 million charge related to the voluntary retirement program and an increase in business transformation costs of $0.8 million. The $0.7 million investment in additional talent was mostly offset by the $1.1 million reduction in executive transition costs.</w:t>
      </w:r>
      <w:r>
        <w:rPr>
          <w:rFonts w:ascii="Times New Roman" w:hAnsi="Times New Roman"/>
          <w:color w:val="000000"/>
          <w:sz w:val="20"/>
        </w:rPr>
        <w:t xml:space="preserve"> </w:t>
      </w:r>
    </w:p>
    <w:p>
      <w:pPr>
        <w:pStyle w:val="TextBody"/>
        <w:bidi w:val="0"/>
        <w:spacing w:before="120" w:after="283"/>
        <w:jc w:val="left"/>
        <w:rPr>
          <w:rFonts w:ascii="Arial Nova Light;sans-serif" w:hAnsi="Arial Nova Light;sans-serif"/>
          <w:b w:val="false"/>
          <w:color w:val="000000"/>
          <w:sz w:val="22"/>
        </w:rPr>
      </w:pPr>
      <w:r>
        <w:rPr>
          <w:rFonts w:ascii="Arial Nova Light;sans-serif" w:hAnsi="Arial Nova Light;sans-serif"/>
          <w:b w:val="false"/>
          <w:color w:val="000000"/>
          <w:sz w:val="22"/>
        </w:rPr>
        <w:t>Interest income grew $0.5 million on higher cash balances, while interest expenses declined $0.2 million on lower borrowings. Other income increased $2.2 million as a result of changes in foreign currency exchange rates.</w:t>
      </w:r>
    </w:p>
    <w:p>
      <w:pPr>
        <w:pStyle w:val="TextBody"/>
        <w:bidi w:val="0"/>
        <w:spacing w:before="120" w:after="283"/>
        <w:jc w:val="left"/>
        <w:rPr>
          <w:rFonts w:ascii="Times New Roman" w:hAnsi="Times New Roman"/>
          <w:sz w:val="20"/>
        </w:rPr>
      </w:pPr>
      <w:r>
        <w:rPr>
          <w:rFonts w:ascii="Arial Nova Light;sans-serif" w:hAnsi="Arial Nova Light;sans-serif"/>
          <w:b w:val="false"/>
          <w:color w:val="000000"/>
          <w:sz w:val="22"/>
        </w:rPr>
        <w:t xml:space="preserve">Net income attributable to Strattec was $4.9 million, or $1.20 per diluted share, compared with </w:t>
        <w:br/>
        <w:t>$1.3 million, or $0.32 per diluted share, in the prior-year period. On an adjusted basis, second quarter fiscal 2026 net income attributable to Strattec</w:t>
      </w:r>
      <w:r>
        <w:rPr>
          <w:rFonts w:ascii="Arial Nova Light;sans-serif" w:hAnsi="Arial Nova Light;sans-serif"/>
          <w:b w:val="false"/>
          <w:color w:val="000000"/>
          <w:sz w:val="15"/>
        </w:rPr>
        <w:t>1</w:t>
      </w:r>
      <w:r>
        <w:rPr>
          <w:rFonts w:ascii="Times New Roman" w:hAnsi="Times New Roman"/>
          <w:color w:val="000000"/>
          <w:sz w:val="20"/>
        </w:rPr>
        <w:t xml:space="preserve"> </w:t>
      </w:r>
      <w:r>
        <w:rPr>
          <w:rFonts w:ascii="Arial Nova Light;sans-serif" w:hAnsi="Arial Nova Light;sans-serif"/>
          <w:b w:val="false"/>
          <w:color w:val="000000"/>
          <w:sz w:val="22"/>
        </w:rPr>
        <w:t>was $7.1 million, and adjusted diluted earnings per share</w:t>
      </w:r>
      <w:r>
        <w:rPr>
          <w:rFonts w:ascii="Arial Nova Light;sans-serif" w:hAnsi="Arial Nova Light;sans-serif"/>
          <w:b w:val="false"/>
          <w:color w:val="000000"/>
          <w:sz w:val="15"/>
        </w:rPr>
        <w:t>1</w:t>
      </w:r>
      <w:r>
        <w:rPr>
          <w:rFonts w:ascii="Times New Roman" w:hAnsi="Times New Roman"/>
          <w:color w:val="000000"/>
          <w:sz w:val="20"/>
        </w:rPr>
        <w:t xml:space="preserve"> </w:t>
      </w:r>
      <w:r>
        <w:rPr>
          <w:rFonts w:ascii="Arial Nova Light;sans-serif" w:hAnsi="Arial Nova Light;sans-serif"/>
          <w:b w:val="false"/>
          <w:color w:val="000000"/>
          <w:sz w:val="22"/>
        </w:rPr>
        <w:t>was $1.71. Adjusted EBITDA</w:t>
      </w:r>
      <w:r>
        <w:rPr>
          <w:rFonts w:ascii="Arial Nova Light;sans-serif" w:hAnsi="Arial Nova Light;sans-serif"/>
          <w:b w:val="false"/>
          <w:color w:val="000000"/>
          <w:sz w:val="15"/>
        </w:rPr>
        <w:t>1</w:t>
      </w:r>
      <w:r>
        <w:rPr>
          <w:rFonts w:ascii="Times New Roman" w:hAnsi="Times New Roman"/>
          <w:color w:val="000000"/>
          <w:sz w:val="20"/>
        </w:rPr>
        <w:t xml:space="preserve"> </w:t>
      </w:r>
      <w:r>
        <w:rPr>
          <w:rFonts w:ascii="Arial Nova Light;sans-serif" w:hAnsi="Arial Nova Light;sans-serif"/>
          <w:b w:val="false"/>
          <w:color w:val="000000"/>
          <w:sz w:val="22"/>
        </w:rPr>
        <w:t>for the quarter was $12.3 million compared with $8.0 million in the prior-year period. Adjusted EBITDA margin of 8.9%, compared with 6.1% in the fiscal 2025 second quarter.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Nova Light;sans-serif" w:hAnsi="Arial Nova Light;sans-serif"/>
          <w:b w:val="false"/>
          <w:i/>
          <w:color w:val="000000"/>
          <w:sz w:val="22"/>
        </w:rPr>
        <w:t>Financial Flexibility with Strong Balance Sheet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Nova Light;sans-serif" w:hAnsi="Arial Nova Light;sans-serif"/>
          <w:b w:val="false"/>
          <w:color w:val="000000"/>
          <w:sz w:val="22"/>
        </w:rPr>
        <w:t>Cash from operations in the second quarter of fiscal 2026 was $13.9 million, an increase of $4.4 million, or 47%, as a result of higher cash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Nova Light;sans-serif" w:hAnsi="Arial Nova Light;sans-serif"/>
          <w:b w:val="false"/>
          <w:color w:val="000000"/>
          <w:sz w:val="22"/>
        </w:rPr>
        <w:t>At December 28, 2025, the Company had $99.0 million in cash and cash equivalents, up from</w:t>
        <w:br/>
        <w:t>$90.5 million at the end of the first quarter fiscal 2026 and $84.6 at the end of the fourth quarter of fiscal 2025. Inventories increased $10.3 million in the quarter to improve service levels and reduce expedites.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Nova Light;sans-serif" w:hAnsi="Arial Nova Light;sans-serif"/>
          <w:b w:val="false"/>
          <w:i/>
          <w:color w:val="000000"/>
          <w:sz w:val="22"/>
        </w:rPr>
        <w:t>Second Quarter Fiscal Year 2026 Webcast and Conference Call</w:t>
      </w:r>
      <w:r>
        <w:rPr>
          <w:rFonts w:ascii="Times New Roman" w:hAnsi="Times New Roman"/>
          <w:color w:val="000000"/>
          <w:sz w:val="20"/>
        </w:rPr>
        <w:t xml:space="preserve"> </w:t>
      </w:r>
    </w:p>
    <w:p>
      <w:pPr>
        <w:pStyle w:val="TextBody"/>
        <w:bidi w:val="0"/>
        <w:spacing w:before="0" w:after="120"/>
        <w:jc w:val="left"/>
        <w:rPr>
          <w:rFonts w:ascii="Arial Nova Light;sans-serif" w:hAnsi="Arial Nova Light;sans-serif"/>
          <w:b w:val="false"/>
          <w:color w:val="000000"/>
          <w:sz w:val="22"/>
        </w:rPr>
      </w:pPr>
      <w:r>
        <w:rPr>
          <w:rFonts w:ascii="Arial Nova Light;sans-serif" w:hAnsi="Arial Nova Light;sans-serif"/>
          <w:b w:val="false"/>
          <w:color w:val="000000"/>
          <w:sz w:val="22"/>
        </w:rPr>
        <w:t>The Company will host a conference call and webcast tomorrow, Friday, February 6, 2026, at 9:00 am Eastern Time to review the financial and operating results for the period ended December 28, 2025, and provide an update on its transformation progress. A question-and-answer session will follow.</w:t>
      </w:r>
    </w:p>
    <w:p>
      <w:pPr>
        <w:pStyle w:val="TextBody"/>
        <w:bidi w:val="0"/>
        <w:spacing w:before="0" w:after="120"/>
        <w:jc w:val="left"/>
        <w:rPr>
          <w:rFonts w:ascii="Times New Roman" w:hAnsi="Times New Roman"/>
          <w:sz w:val="20"/>
        </w:rPr>
      </w:pPr>
      <w:r>
        <w:rPr>
          <w:rFonts w:ascii="Arial Nova Light;sans-serif" w:hAnsi="Arial Nova Light;sans-serif"/>
          <w:b w:val="false"/>
          <w:color w:val="000000"/>
          <w:sz w:val="22"/>
        </w:rPr>
        <w:t xml:space="preserve">You can access the call by phoning (201) 689-8470 or find the webcast and accompanying slide presentation at </w:t>
      </w:r>
      <w:r>
        <w:rPr>
          <w:rFonts w:ascii="Arial Nova Light;sans-serif" w:hAnsi="Arial Nova Light;sans-serif"/>
          <w:b w:val="false"/>
          <w:sz w:val="22"/>
        </w:rPr>
        <w:t>investors.strattec.com.</w:t>
      </w:r>
      <w:r>
        <w:rPr>
          <w:rFonts w:ascii="Times New Roman" w:hAnsi="Times New Roman"/>
          <w:sz w:val="20"/>
        </w:rPr>
        <w:t xml:space="preserve"> </w:t>
      </w:r>
    </w:p>
    <w:p>
      <w:pPr>
        <w:pStyle w:val="TextBody"/>
        <w:bidi w:val="0"/>
        <w:spacing w:before="0" w:after="120"/>
        <w:jc w:val="left"/>
        <w:rPr>
          <w:rFonts w:ascii="Times New Roman" w:hAnsi="Times New Roman"/>
          <w:sz w:val="20"/>
        </w:rPr>
      </w:pPr>
      <w:r>
        <w:rPr>
          <w:rFonts w:ascii="Arial Nova Light;sans-serif" w:hAnsi="Arial Nova Light;sans-serif"/>
          <w:b w:val="false"/>
          <w:color w:val="000000"/>
          <w:sz w:val="22"/>
        </w:rPr>
        <w:t>A telephonic replay will be available from 12:00 p.m. ET on the day of the call through Friday,</w:t>
        <w:br/>
        <w:t>February 20, 2026. To listen to the archived call, dial +1 (412) 317-6671 and enter replay PIN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Arial Nova Light;sans-serif" w:hAnsi="Arial Nova Light;sans-serif"/>
          <w:b w:val="false"/>
          <w:color w:val="000000"/>
          <w:sz w:val="16"/>
        </w:rPr>
        <w:t>Refer to “Use of Non-GAAP Financial Metrics and Additional Financial Information” as well as accompanying reconciliations to GAAP</w:t>
      </w:r>
    </w:p>
    <w:p>
      <w:pPr>
        <w:pStyle w:val="TextBody"/>
        <w:bidi w:val="0"/>
        <w:jc w:val="center"/>
        <w:rPr>
          <w:rFonts w:ascii="Arial Narrow;sans-serif" w:hAnsi="Arial Narrow;sans-serif"/>
          <w:color w:val="000000"/>
          <w:sz w:val="20"/>
        </w:rPr>
      </w:pPr>
      <w:r>
        <w:rPr>
          <w:rFonts w:ascii="Arial Narrow;sans-serif" w:hAnsi="Arial Narrow;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rFonts w:ascii="Arial Narrow;sans-serif" w:hAnsi="Arial Narrow;sans-serif"/>
          <w:b/>
          <w:color w:val="000000"/>
          <w:sz w:val="18"/>
        </w:rPr>
      </w:pPr>
      <w:r>
        <w:rPr>
          <w:rFonts w:ascii="Arial Narrow;sans-serif" w:hAnsi="Arial Narrow;sans-serif"/>
          <w:b/>
          <w:color w:val="000000"/>
          <w:sz w:val="18"/>
        </w:rPr>
        <w:t xml:space="preserve">Strattec Generated $14 million in Cash from Operations in Second Quarter Fiscal 2026 </w:t>
        <w:br/>
        <w:t>February 5, 2026</w:t>
      </w:r>
    </w:p>
    <w:p>
      <w:pPr>
        <w:pStyle w:val="TextBody"/>
        <w:bidi w:val="0"/>
        <w:jc w:val="left"/>
        <w:rPr>
          <w:rFonts w:ascii="Times New Roman" w:hAnsi="Times New Roman"/>
          <w:sz w:val="20"/>
        </w:rPr>
      </w:pPr>
      <w:r>
        <w:rPr>
          <w:rFonts w:ascii="Arial Narrow;sans-serif" w:hAnsi="Arial Narrow;sans-serif"/>
          <w:b/>
          <w:color w:val="000000"/>
          <w:sz w:val="18"/>
        </w:rPr>
        <w:t>Page 3</w:t>
      </w:r>
      <w:r>
        <w:rPr>
          <w:rFonts w:ascii="Times New Roman" w:hAnsi="Times New Roman"/>
          <w:color w:val="000000"/>
          <w:sz w:val="20"/>
        </w:rPr>
        <w:t xml:space="preserve"> </w:t>
      </w:r>
      <w:r>
        <w:rPr>
          <w:rFonts w:ascii="Arial Narrow;sans-serif" w:hAnsi="Arial Narrow;sans-serif"/>
          <w:b/>
          <w:color w:val="000000"/>
          <w:sz w:val="18"/>
        </w:rPr>
        <w:t>of 10</w:t>
      </w:r>
    </w:p>
    <w:p>
      <w:pPr>
        <w:pStyle w:val="TextBody"/>
        <w:bidi w:val="0"/>
        <w:jc w:val="left"/>
        <w:rPr/>
      </w:pPr>
      <w:r>
        <w:rPr/>
        <w:t> </w:t>
      </w:r>
    </w:p>
    <w:p>
      <w:pPr>
        <w:pStyle w:val="TextBody"/>
        <w:bidi w:val="0"/>
        <w:spacing w:before="0" w:after="120"/>
        <w:jc w:val="left"/>
        <w:rPr>
          <w:rFonts w:ascii="Times New Roman" w:hAnsi="Times New Roman"/>
          <w:sz w:val="20"/>
        </w:rPr>
      </w:pPr>
      <w:r>
        <w:rPr>
          <w:rFonts w:ascii="Arial Nova Light;sans-serif" w:hAnsi="Arial Nova Light;sans-serif"/>
          <w:b w:val="false"/>
          <w:color w:val="000000"/>
          <w:sz w:val="22"/>
        </w:rPr>
        <w:t xml:space="preserve">13757872. The webcast replay will be available on the Investor Relations section of the Company’s website </w:t>
      </w:r>
      <w:r>
        <w:rPr>
          <w:rFonts w:ascii="Arial Nova Light;sans-serif" w:hAnsi="Arial Nova Light;sans-serif"/>
          <w:b w:val="false"/>
          <w:sz w:val="22"/>
        </w:rPr>
        <w:t>investors.strattec.com</w:t>
      </w:r>
      <w:r>
        <w:rPr>
          <w:rFonts w:ascii="Arial Nova Light;sans-serif" w:hAnsi="Arial Nova Light;sans-serif"/>
          <w:b w:val="false"/>
          <w:color w:val="000000"/>
          <w:sz w:val="22"/>
        </w:rPr>
        <w:t>, where a transcript will be posted once available.</w:t>
      </w:r>
    </w:p>
    <w:p>
      <w:pPr>
        <w:pStyle w:val="TextBody"/>
        <w:bidi w:val="0"/>
        <w:spacing w:before="0" w:after="120"/>
        <w:jc w:val="left"/>
        <w:rPr>
          <w:rFonts w:ascii="Times New Roman" w:hAnsi="Times New Roman"/>
          <w:sz w:val="20"/>
        </w:rPr>
      </w:pPr>
      <w:r>
        <w:rPr>
          <w:rFonts w:ascii="Arial Nova Light;sans-serif" w:hAnsi="Arial Nova Light;sans-serif"/>
          <w:b w:val="false"/>
          <w:smallCaps/>
          <w:color w:val="000000"/>
          <w:sz w:val="20"/>
        </w:rPr>
        <w:t>About Strattec</w:t>
        <w:br/>
      </w:r>
      <w:r>
        <w:rPr>
          <w:rFonts w:ascii="Arial Nova Light;sans-serif" w:hAnsi="Arial Nova Light;sans-serif"/>
          <w:b w:val="false"/>
          <w:color w:val="000000"/>
          <w:sz w:val="20"/>
        </w:rPr>
        <w:t xml:space="preserve">Strattec is a leading global provider of advanced automotive access, security &amp; authorization solutions for leading vehicle manufacturers, primarily in the U.S. With a history spanning over 110 years, Strattec has consistently been at the forefront of innovation in vehicle security, transitioning from mechanical to integrated electro-mechanical systems. Its highly-engineered products include power access solutions, latches, vehicle start systems, keys, fobs &amp; accessories, locks &amp; locksets, door handles and other access products. Power access solutions provide the motion control for power liftgates, sliding power doors and power tailgates. For more information on Strattec and its solutions, visit </w:t>
      </w:r>
      <w:r>
        <w:rPr>
          <w:rFonts w:ascii="Arial Nova Light;sans-serif" w:hAnsi="Arial Nova Light;sans-serif"/>
          <w:b w:val="false"/>
          <w:sz w:val="20"/>
        </w:rPr>
        <w:t>www.strattec.com</w:t>
      </w:r>
      <w:r>
        <w:rPr>
          <w:rFonts w:ascii="Arial Nova Light;sans-serif" w:hAnsi="Arial Nova Light;sans-serif"/>
          <w:b w:val="false"/>
          <w:color w:val="000000"/>
          <w:sz w:val="20"/>
        </w:rPr>
        <w: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Nova Light;sans-serif" w:hAnsi="Arial Nova Light;sans-serif"/>
          <w:b w:val="false"/>
          <w:smallCaps/>
          <w:color w:val="000000"/>
          <w:sz w:val="20"/>
        </w:rPr>
        <w:t>Safe Harbor Statement</w:t>
      </w:r>
      <w:r>
        <w:rPr>
          <w:rFonts w:ascii="Arial Nova Light;sans-serif" w:hAnsi="Arial Nova Light;sans-serif"/>
          <w:b w:val="false"/>
          <w:color w:val="000000"/>
          <w:sz w:val="20"/>
        </w:rPr>
        <w:br/>
        <w:t>Certain statements contained in this release contain “forward-looking statements” within the meaning of the Private Securities Litigation Reform Act of 1995. These statements may be identified by the use of forward-looking words or phrases such as “anticipate,” “believe,” “could,” “expect,” “intend,” “may,” “planned,” “potential,” “should,” “will,” and “would.” Such forward-looking statements are inherently subject to many uncertainties in the Company’s operations and business environment. These uncertainties include general economic conditions, in particular, relating to the automotive industry, consumer demand for the Company’s and its customers’ products, competitive and technological developments, customer purchasing actions, changes in warranty provisions and customer product recall policies, work stoppages at the Company or at the location of its key customers as a result of labor disputes, foreign currency fluctuations, uncertainties stemming from U.S. trade policies, tariffs and reactions to the same from foreign countries, matters adversely impacting the timing and availability of component parts and raw materials needed for the production of the Company’s products and the products of its customers and fluctuations in costs of operation. Shareholders, potential investors and other readers are urged to consider these factors carefully in evaluating the forward-looking statements and are cautioned not to place undue reliance on such forward-looking statements. Such uncertainties and other operational matters are discussed further in the Company’s quarterly and annual filings with the Securities and Exchange Commission. The forward-looking statements made herein are only made as of the date of this press release and the Company undertakes no obligation to publicly update such forward-looking statements to reflect subsequent events or circumstances occurring after the date of this release.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Nova Light;sans-serif" w:hAnsi="Arial Nova Light;sans-serif"/>
          <w:b w:val="false"/>
          <w:smallCaps/>
          <w:color w:val="000000"/>
          <w:sz w:val="20"/>
        </w:rPr>
        <w:t>Use of Non-GAAP Financial Metrics and Additional Financial Information</w:t>
      </w:r>
      <w:r>
        <w:rPr>
          <w:rFonts w:ascii="Arial Nova Light;sans-serif" w:hAnsi="Arial Nova Light;sans-serif"/>
          <w:b w:val="false"/>
          <w:color w:val="000000"/>
          <w:sz w:val="20"/>
        </w:rPr>
        <w:br/>
        <w:t>In addition to reporting financial results in accordance with generally accepted accounting principles, or GAAP, Strattec provides Adjusted Non-GAAP information as additional information for its operating results. References to Adjusted Non-GAAP information are to non-GAAP financial measures. These measures are not required by, in accordance with, or an alternative for, GAAP and may be different from similarly titled non-GAAP financial measures used by other companies. Strattec’s management uses these measures to make strategic decisions, establish budget plans and forecasts, identify trends affecting Strattec’s business, and evaluate performance. Management believes that providing these non-GAAP financial measures to investors, as a supplement to GAAP financial measures, will help investors evaluate Strattec’s core operating and financial performance and business trends consistent with how management evaluates such performance and trends. Investors are encouraged to review the related GAAP financial measures and the reconciliation of these non-GAAP financial measures to their most directly comparable GAAP financial measures.</w:t>
      </w:r>
    </w:p>
    <w:p>
      <w:pPr>
        <w:pStyle w:val="TextBody"/>
        <w:bidi w:val="0"/>
        <w:jc w:val="left"/>
        <w:rPr>
          <w:rFonts w:ascii="Arial Nova Light;sans-serif" w:hAnsi="Arial Nova Light;sans-serif"/>
          <w:b w:val="false"/>
          <w:smallCaps/>
          <w:color w:val="000000"/>
          <w:sz w:val="20"/>
        </w:rPr>
      </w:pPr>
      <w:r>
        <w:rPr>
          <w:rFonts w:ascii="Arial Nova Light;sans-serif" w:hAnsi="Arial Nova Light;sans-serif"/>
          <w:b w:val="false"/>
          <w:smallCaps/>
          <w:color w:val="000000"/>
          <w:sz w:val="20"/>
        </w:rPr>
        <w:t>Contact:</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283"/>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Deborah K. Pawlowski, IRC</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Alliance Advisors IR</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Phone: 716-843-3908</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ova Light;sans-serif" w:hAnsi="Arial Nova Light;sans-serif"/>
                <w:b w:val="false"/>
                <w:color w:val="000000"/>
                <w:sz w:val="20"/>
              </w:rPr>
              <w:t xml:space="preserve">Email: </w:t>
            </w:r>
            <w:r>
              <w:rPr>
                <w:rFonts w:ascii="Arial Nova Light;sans-serif" w:hAnsi="Arial Nova Light;sans-serif"/>
                <w:b w:val="false"/>
                <w:sz w:val="20"/>
              </w:rPr>
              <w:t>dpawlowski@allianceadvisors.com</w:t>
            </w:r>
          </w:p>
        </w:tc>
      </w:tr>
    </w:tbl>
    <w:p>
      <w:pPr>
        <w:pStyle w:val="TextBody"/>
        <w:bidi w:val="0"/>
        <w:jc w:val="left"/>
        <w:rPr/>
      </w:pPr>
      <w:r>
        <w:rPr/>
        <w:t> </w:t>
      </w:r>
    </w:p>
    <w:p>
      <w:pPr>
        <w:pStyle w:val="TextBody"/>
        <w:bidi w:val="0"/>
        <w:jc w:val="center"/>
        <w:rPr>
          <w:rFonts w:ascii="Arial Narrow;sans-serif" w:hAnsi="Arial Narrow;sans-serif"/>
          <w:color w:val="000000"/>
          <w:sz w:val="20"/>
        </w:rPr>
      </w:pPr>
      <w:r>
        <w:rPr>
          <w:rFonts w:ascii="Arial Narrow;sans-serif" w:hAnsi="Arial Narrow;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rFonts w:ascii="Arial Narrow;sans-serif" w:hAnsi="Arial Narrow;sans-serif"/>
          <w:b/>
          <w:color w:val="000000"/>
          <w:sz w:val="18"/>
        </w:rPr>
      </w:pPr>
      <w:r>
        <w:rPr>
          <w:rFonts w:ascii="Arial Narrow;sans-serif" w:hAnsi="Arial Narrow;sans-serif"/>
          <w:b/>
          <w:color w:val="000000"/>
          <w:sz w:val="18"/>
        </w:rPr>
        <w:t xml:space="preserve">Strattec Generated $14 million in Cash from Operations in Second Quarter Fiscal 2026 </w:t>
        <w:br/>
        <w:t>February 5, 2026</w:t>
      </w:r>
    </w:p>
    <w:p>
      <w:pPr>
        <w:pStyle w:val="TextBody"/>
        <w:bidi w:val="0"/>
        <w:jc w:val="left"/>
        <w:rPr>
          <w:rFonts w:ascii="Times New Roman" w:hAnsi="Times New Roman"/>
          <w:sz w:val="20"/>
        </w:rPr>
      </w:pPr>
      <w:r>
        <w:rPr>
          <w:rFonts w:ascii="Arial Narrow;sans-serif" w:hAnsi="Arial Narrow;sans-serif"/>
          <w:b/>
          <w:color w:val="000000"/>
          <w:sz w:val="18"/>
        </w:rPr>
        <w:t>Page 4</w:t>
      </w:r>
      <w:r>
        <w:rPr>
          <w:rFonts w:ascii="Times New Roman" w:hAnsi="Times New Roman"/>
          <w:color w:val="000000"/>
          <w:sz w:val="20"/>
        </w:rPr>
        <w:t xml:space="preserve"> </w:t>
      </w:r>
      <w:r>
        <w:rPr>
          <w:rFonts w:ascii="Arial Narrow;sans-serif" w:hAnsi="Arial Narrow;sans-serif"/>
          <w:b/>
          <w:color w:val="000000"/>
          <w:sz w:val="18"/>
        </w:rPr>
        <w:t>of 10</w:t>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Nova Light;sans-serif" w:hAnsi="Arial Nova Light;sans-serif"/>
          <w:b w:val="false"/>
          <w:color w:val="000000"/>
          <w:sz w:val="20"/>
        </w:rPr>
        <w:t>FINANCIAL TABLES FOLLOW</w:t>
      </w:r>
      <w:r>
        <w:rPr>
          <w:rFonts w:ascii="Times New Roman" w:hAnsi="Times New Roman"/>
          <w:color w:val="000000"/>
          <w:sz w:val="20"/>
        </w:rPr>
        <w:t xml:space="preserve"> </w:t>
      </w:r>
    </w:p>
    <w:p>
      <w:pPr>
        <w:pStyle w:val="TextBody"/>
        <w:bidi w:val="0"/>
        <w:jc w:val="center"/>
        <w:rPr>
          <w:rFonts w:ascii="Arial Narrow;sans-serif" w:hAnsi="Arial Narrow;sans-serif"/>
          <w:color w:val="000000"/>
          <w:sz w:val="20"/>
        </w:rPr>
      </w:pPr>
      <w:r>
        <w:rPr>
          <w:rFonts w:ascii="Arial Narrow;sans-serif" w:hAnsi="Arial Narrow;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rFonts w:ascii="Arial Narrow;sans-serif" w:hAnsi="Arial Narrow;sans-serif"/>
          <w:b/>
          <w:color w:val="000000"/>
          <w:sz w:val="18"/>
        </w:rPr>
      </w:pPr>
      <w:r>
        <w:rPr>
          <w:rFonts w:ascii="Arial Narrow;sans-serif" w:hAnsi="Arial Narrow;sans-serif"/>
          <w:b/>
          <w:color w:val="000000"/>
          <w:sz w:val="18"/>
        </w:rPr>
        <w:t xml:space="preserve">Strattec Generated $14 million in Cash from Operations in Second Quarter Fiscal 2026 </w:t>
        <w:br/>
        <w:t>February 5, 2026</w:t>
      </w:r>
    </w:p>
    <w:p>
      <w:pPr>
        <w:pStyle w:val="TextBody"/>
        <w:bidi w:val="0"/>
        <w:jc w:val="left"/>
        <w:rPr>
          <w:rFonts w:ascii="Times New Roman" w:hAnsi="Times New Roman"/>
          <w:sz w:val="20"/>
        </w:rPr>
      </w:pPr>
      <w:r>
        <w:rPr>
          <w:rFonts w:ascii="Arial Narrow;sans-serif" w:hAnsi="Arial Narrow;sans-serif"/>
          <w:b/>
          <w:color w:val="000000"/>
          <w:sz w:val="18"/>
        </w:rPr>
        <w:t>Page 5</w:t>
      </w:r>
      <w:r>
        <w:rPr>
          <w:rFonts w:ascii="Times New Roman" w:hAnsi="Times New Roman"/>
          <w:color w:val="000000"/>
          <w:sz w:val="20"/>
        </w:rPr>
        <w:t xml:space="preserve"> </w:t>
      </w:r>
      <w:r>
        <w:rPr>
          <w:rFonts w:ascii="Arial Narrow;sans-serif" w:hAnsi="Arial Narrow;sans-serif"/>
          <w:b/>
          <w:color w:val="000000"/>
          <w:sz w:val="18"/>
        </w:rPr>
        <w:t>of 10</w:t>
      </w:r>
    </w:p>
    <w:p>
      <w:pPr>
        <w:pStyle w:val="TextBody"/>
        <w:bidi w:val="0"/>
        <w:jc w:val="left"/>
        <w:rPr/>
      </w:pPr>
      <w:r>
        <w:rPr/>
        <w:t> </w:t>
      </w:r>
    </w:p>
    <w:p>
      <w:pPr>
        <w:pStyle w:val="TextBody"/>
        <w:bidi w:val="0"/>
        <w:jc w:val="center"/>
        <w:rPr>
          <w:rFonts w:ascii="Arial Narrow;sans-serif" w:hAnsi="Arial Narrow;sans-serif"/>
          <w:b/>
          <w:smallCaps/>
          <w:color w:val="000000"/>
          <w:sz w:val="28"/>
        </w:rPr>
      </w:pPr>
      <w:r>
        <w:rPr>
          <w:rFonts w:ascii="Arial Narrow;sans-serif" w:hAnsi="Arial Narrow;sans-serif"/>
          <w:b/>
          <w:smallCaps/>
          <w:color w:val="000000"/>
          <w:sz w:val="28"/>
        </w:rPr>
        <w:t>Strattec Security Corporation</w:t>
      </w:r>
    </w:p>
    <w:p>
      <w:pPr>
        <w:pStyle w:val="TextBody"/>
        <w:bidi w:val="0"/>
        <w:jc w:val="center"/>
        <w:rPr>
          <w:rFonts w:ascii="Arial Narrow;sans-serif" w:hAnsi="Arial Narrow;sans-serif"/>
          <w:b/>
          <w:smallCaps/>
          <w:color w:val="000000"/>
          <w:sz w:val="24"/>
        </w:rPr>
      </w:pPr>
      <w:r>
        <w:rPr>
          <w:rFonts w:ascii="Arial Narrow;sans-serif" w:hAnsi="Arial Narrow;sans-serif"/>
          <w:b/>
          <w:smallCaps/>
          <w:color w:val="000000"/>
          <w:sz w:val="24"/>
        </w:rPr>
        <w:t>Consolidated Statements of Income</w:t>
      </w:r>
    </w:p>
    <w:p>
      <w:pPr>
        <w:pStyle w:val="TextBody"/>
        <w:bidi w:val="0"/>
        <w:jc w:val="center"/>
        <w:rPr>
          <w:rFonts w:ascii="Arial Narrow;sans-serif" w:hAnsi="Arial Narrow;sans-serif"/>
          <w:color w:val="000000"/>
          <w:sz w:val="20"/>
        </w:rPr>
      </w:pPr>
      <w:r>
        <w:rPr>
          <w:rFonts w:ascii="Arial Narrow;sans-serif" w:hAnsi="Arial Narrow;sans-serif"/>
          <w:color w:val="000000"/>
          <w:sz w:val="20"/>
        </w:rPr>
        <w:t>(Unaudited)</w:t>
      </w:r>
    </w:p>
    <w:p>
      <w:pPr>
        <w:pStyle w:val="TextBody"/>
        <w:bidi w:val="0"/>
        <w:jc w:val="center"/>
        <w:rPr>
          <w:rFonts w:ascii="Arial Narrow;sans-serif" w:hAnsi="Arial Narrow;sans-serif"/>
          <w:i/>
          <w:color w:val="000000"/>
          <w:sz w:val="18"/>
        </w:rPr>
      </w:pPr>
      <w:r>
        <w:rPr>
          <w:rFonts w:ascii="Arial Narrow;sans-serif" w:hAnsi="Arial Narrow;sans-serif"/>
          <w:i/>
          <w:color w:val="000000"/>
          <w:sz w:val="18"/>
        </w:rPr>
        <w:t>(In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79"/>
        <w:gridCol w:w="261"/>
        <w:gridCol w:w="1025"/>
        <w:gridCol w:w="271"/>
        <w:gridCol w:w="146"/>
        <w:gridCol w:w="261"/>
        <w:gridCol w:w="1025"/>
        <w:gridCol w:w="271"/>
        <w:gridCol w:w="146"/>
        <w:gridCol w:w="261"/>
        <w:gridCol w:w="1025"/>
        <w:gridCol w:w="271"/>
        <w:gridCol w:w="146"/>
        <w:gridCol w:w="261"/>
        <w:gridCol w:w="1025"/>
        <w:gridCol w:w="431"/>
      </w:tblGrid>
      <w:tr>
        <w:trPr/>
        <w:tc>
          <w:tcPr>
            <w:tcW w:w="337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3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Six Months Ended</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December 28,</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December 29,</w:t>
              <w:b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December 28,</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December 29,</w:t>
              <w:br/>
              <w:t>2024</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9"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Net sales</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137,534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129,919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289,933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268,971</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Cost of goods sold</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114,812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112,768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240,876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232,899</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7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Gross profit</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22,722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17,151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49,057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36,072</w:t>
            </w:r>
          </w:p>
        </w:tc>
        <w:tc>
          <w:tcPr>
            <w:tcW w:w="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i/>
                <w:color w:val="000000"/>
                <w:sz w:val="18"/>
              </w:rPr>
            </w:pPr>
            <w:r>
              <w:rPr>
                <w:rFonts w:ascii="Arial Nova Light;sans-serif" w:hAnsi="Arial Nova Light;sans-serif"/>
                <w:b w:val="false"/>
                <w:i/>
                <w:color w:val="000000"/>
                <w:sz w:val="18"/>
              </w:rPr>
              <w:t>Gross margin</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i/>
                <w:color w:val="000000"/>
                <w:sz w:val="18"/>
              </w:rPr>
            </w:pPr>
            <w:r>
              <w:rPr>
                <w:rFonts w:ascii="Arial Nova Light;sans-serif" w:hAnsi="Arial Nova Light;sans-serif"/>
                <w:b w:val="false"/>
                <w:i/>
                <w:color w:val="000000"/>
                <w:sz w:val="18"/>
              </w:rPr>
              <w:t>16.5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i/>
                <w:color w:val="000000"/>
                <w:sz w:val="18"/>
              </w:rPr>
            </w:pPr>
            <w:r>
              <w:rPr>
                <w:rFonts w:ascii="Arial Nova Light;sans-serif" w:hAnsi="Arial Nova Light;sans-serif"/>
                <w:b w:val="false"/>
                <w:i/>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i/>
                <w:color w:val="000000"/>
                <w:sz w:val="18"/>
              </w:rPr>
            </w:pPr>
            <w:r>
              <w:rPr>
                <w:rFonts w:ascii="Arial Nova Light;sans-serif" w:hAnsi="Arial Nova Light;sans-serif"/>
                <w:b w:val="false"/>
                <w:i/>
                <w:color w:val="000000"/>
                <w:sz w:val="18"/>
              </w:rPr>
              <w:t>13.2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i/>
                <w:color w:val="000000"/>
                <w:sz w:val="18"/>
              </w:rPr>
            </w:pPr>
            <w:r>
              <w:rPr>
                <w:rFonts w:ascii="Arial Nova Light;sans-serif" w:hAnsi="Arial Nova Light;sans-serif"/>
                <w:b w:val="false"/>
                <w:i/>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i/>
                <w:color w:val="000000"/>
                <w:sz w:val="18"/>
              </w:rPr>
            </w:pPr>
            <w:r>
              <w:rPr>
                <w:rFonts w:ascii="Arial Nova Light;sans-serif" w:hAnsi="Arial Nova Light;sans-serif"/>
                <w:b w:val="false"/>
                <w:i/>
                <w:color w:val="000000"/>
                <w:sz w:val="18"/>
              </w:rPr>
              <w:t>16.9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i/>
                <w:color w:val="000000"/>
                <w:sz w:val="18"/>
              </w:rPr>
            </w:pPr>
            <w:r>
              <w:rPr>
                <w:rFonts w:ascii="Arial Nova Light;sans-serif" w:hAnsi="Arial Nova Light;sans-serif"/>
                <w:b w:val="false"/>
                <w:i/>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i/>
                <w:color w:val="000000"/>
                <w:sz w:val="18"/>
              </w:rPr>
            </w:pPr>
            <w:r>
              <w:rPr>
                <w:rFonts w:ascii="Arial Nova Light;sans-serif" w:hAnsi="Arial Nova Light;sans-serif"/>
                <w:b w:val="false"/>
                <w:i/>
                <w:color w:val="000000"/>
                <w:sz w:val="18"/>
              </w:rPr>
              <w:t>13.4</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i/>
                <w:color w:val="000000"/>
                <w:sz w:val="18"/>
              </w:rPr>
            </w:pPr>
            <w:r>
              <w:rPr>
                <w:rFonts w:ascii="Arial Nova Light;sans-serif" w:hAnsi="Arial Nova Light;sans-serif"/>
                <w:b w:val="false"/>
                <w:i/>
                <w:color w:val="000000"/>
                <w:sz w:val="18"/>
              </w:rPr>
              <w:t>%</w:t>
            </w:r>
          </w:p>
        </w:tc>
      </w:tr>
      <w:tr>
        <w:trPr/>
        <w:tc>
          <w:tcPr>
            <w:tcW w:w="3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Selling, administrative and engineering expenses</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17,860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15,017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33,748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28,875</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7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Income from operations</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4,862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2,134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15,309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7,197</w:t>
            </w:r>
          </w:p>
        </w:tc>
        <w:tc>
          <w:tcPr>
            <w:tcW w:w="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i/>
                <w:color w:val="000000"/>
                <w:sz w:val="18"/>
              </w:rPr>
            </w:pPr>
            <w:r>
              <w:rPr>
                <w:rFonts w:ascii="Arial Nova Light;sans-serif" w:hAnsi="Arial Nova Light;sans-serif"/>
                <w:b w:val="false"/>
                <w:i/>
                <w:color w:val="000000"/>
                <w:sz w:val="18"/>
              </w:rPr>
              <w:t>Operating margin</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i/>
                <w:color w:val="000000"/>
                <w:sz w:val="18"/>
              </w:rPr>
            </w:pPr>
            <w:r>
              <w:rPr>
                <w:rFonts w:ascii="Arial Nova Light;sans-serif" w:hAnsi="Arial Nova Light;sans-serif"/>
                <w:b w:val="false"/>
                <w:i/>
                <w:color w:val="000000"/>
                <w:sz w:val="18"/>
              </w:rPr>
              <w:t>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i/>
                <w:color w:val="000000"/>
                <w:sz w:val="18"/>
              </w:rPr>
            </w:pPr>
            <w:r>
              <w:rPr>
                <w:rFonts w:ascii="Arial Nova Light;sans-serif" w:hAnsi="Arial Nova Light;sans-serif"/>
                <w:b w:val="false"/>
                <w:i/>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i/>
                <w:color w:val="000000"/>
                <w:sz w:val="18"/>
              </w:rPr>
            </w:pPr>
            <w:r>
              <w:rPr>
                <w:rFonts w:ascii="Arial Nova Light;sans-serif" w:hAnsi="Arial Nova Light;sans-serif"/>
                <w:b w:val="false"/>
                <w:i/>
                <w:color w:val="000000"/>
                <w:sz w:val="18"/>
              </w:rPr>
              <w:t>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i/>
                <w:color w:val="000000"/>
                <w:sz w:val="18"/>
              </w:rPr>
            </w:pPr>
            <w:r>
              <w:rPr>
                <w:rFonts w:ascii="Arial Nova Light;sans-serif" w:hAnsi="Arial Nova Light;sans-serif"/>
                <w:b w:val="false"/>
                <w:i/>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i/>
                <w:color w:val="000000"/>
                <w:sz w:val="18"/>
              </w:rPr>
            </w:pPr>
            <w:r>
              <w:rPr>
                <w:rFonts w:ascii="Arial Nova Light;sans-serif" w:hAnsi="Arial Nova Light;sans-serif"/>
                <w:b w:val="false"/>
                <w:i/>
                <w:color w:val="000000"/>
                <w:sz w:val="18"/>
              </w:rPr>
              <w:t>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i/>
                <w:color w:val="000000"/>
                <w:sz w:val="18"/>
              </w:rPr>
            </w:pPr>
            <w:r>
              <w:rPr>
                <w:rFonts w:ascii="Arial Nova Light;sans-serif" w:hAnsi="Arial Nova Light;sans-serif"/>
                <w:b w:val="false"/>
                <w:i/>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i/>
                <w:color w:val="000000"/>
                <w:sz w:val="18"/>
              </w:rPr>
            </w:pPr>
            <w:r>
              <w:rPr>
                <w:rFonts w:ascii="Arial Nova Light;sans-serif" w:hAnsi="Arial Nova Light;sans-serif"/>
                <w:b w:val="false"/>
                <w:i/>
                <w:color w:val="000000"/>
                <w:sz w:val="18"/>
              </w:rPr>
              <w:t>2.7</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i/>
                <w:color w:val="000000"/>
                <w:sz w:val="18"/>
              </w:rPr>
            </w:pPr>
            <w:r>
              <w:rPr>
                <w:rFonts w:ascii="Arial Nova Light;sans-serif" w:hAnsi="Arial Nova Light;sans-serif"/>
                <w:b w:val="false"/>
                <w:i/>
                <w:color w:val="000000"/>
                <w:sz w:val="18"/>
              </w:rPr>
              <w:t>%</w:t>
            </w:r>
          </w:p>
        </w:tc>
      </w:tr>
      <w:tr>
        <w:trPr/>
        <w:tc>
          <w:tcPr>
            <w:tcW w:w="3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Interest income</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1,762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757</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9"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Interest expense</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(552</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r>
      <w:tr>
        <w:trPr/>
        <w:tc>
          <w:tcPr>
            <w:tcW w:w="3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Other (expense) income, net</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1,691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(482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1,416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(353</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r>
      <w:tr>
        <w:trPr/>
        <w:tc>
          <w:tcPr>
            <w:tcW w:w="337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 xml:space="preserve">Income before provision for income taxes and </w:t>
              <w:br/>
              <w:t>non-controlling interest</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7,342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1,803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18,235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7,049</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Income tax expense</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1,699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4,055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1,903</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7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Net income</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5,643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14,180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5,146</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Net income attributable to non-controlling interest</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696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704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124</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7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Net income attributable to Strattec</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4,947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1,319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13,476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5,022</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9"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Earnings per share attributable to Strattec</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7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Basic</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1.21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0.33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3.31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1.25</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7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Diluted</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1.20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0.32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3.26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1.24</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9"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Weighted average shares outstanding:</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7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Basic</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4,020</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Diluted</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4,131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4,129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4,058</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Narrow;sans-serif" w:hAnsi="Arial Narrow;sans-serif"/>
          <w:color w:val="000000"/>
          <w:sz w:val="20"/>
        </w:rPr>
      </w:pPr>
      <w:r>
        <w:rPr>
          <w:rFonts w:ascii="Arial Narrow;sans-serif" w:hAnsi="Arial Narrow;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rFonts w:ascii="Arial Narrow;sans-serif" w:hAnsi="Arial Narrow;sans-serif"/>
          <w:b/>
          <w:color w:val="000000"/>
          <w:sz w:val="18"/>
        </w:rPr>
      </w:pPr>
      <w:r>
        <w:rPr>
          <w:rFonts w:ascii="Arial Narrow;sans-serif" w:hAnsi="Arial Narrow;sans-serif"/>
          <w:b/>
          <w:color w:val="000000"/>
          <w:sz w:val="18"/>
        </w:rPr>
        <w:t xml:space="preserve">Strattec Generated $14 million in Cash from Operations in Second Quarter Fiscal 2026 </w:t>
        <w:br/>
        <w:t>February 5, 2026</w:t>
      </w:r>
    </w:p>
    <w:p>
      <w:pPr>
        <w:pStyle w:val="TextBody"/>
        <w:bidi w:val="0"/>
        <w:jc w:val="left"/>
        <w:rPr>
          <w:rFonts w:ascii="Times New Roman" w:hAnsi="Times New Roman"/>
          <w:sz w:val="20"/>
        </w:rPr>
      </w:pPr>
      <w:r>
        <w:rPr>
          <w:rFonts w:ascii="Arial Narrow;sans-serif" w:hAnsi="Arial Narrow;sans-serif"/>
          <w:b/>
          <w:color w:val="000000"/>
          <w:sz w:val="18"/>
        </w:rPr>
        <w:t>Page 6</w:t>
      </w:r>
      <w:r>
        <w:rPr>
          <w:rFonts w:ascii="Times New Roman" w:hAnsi="Times New Roman"/>
          <w:color w:val="000000"/>
          <w:sz w:val="20"/>
        </w:rPr>
        <w:t xml:space="preserve"> </w:t>
      </w:r>
      <w:r>
        <w:rPr>
          <w:rFonts w:ascii="Arial Narrow;sans-serif" w:hAnsi="Arial Narrow;sans-serif"/>
          <w:b/>
          <w:color w:val="000000"/>
          <w:sz w:val="18"/>
        </w:rPr>
        <w:t>of 10</w:t>
      </w:r>
    </w:p>
    <w:p>
      <w:pPr>
        <w:pStyle w:val="TextBody"/>
        <w:bidi w:val="0"/>
        <w:jc w:val="left"/>
        <w:rPr/>
      </w:pPr>
      <w:r>
        <w:rPr/>
        <w:t> </w:t>
      </w:r>
    </w:p>
    <w:p>
      <w:pPr>
        <w:pStyle w:val="TextBody"/>
        <w:bidi w:val="0"/>
        <w:jc w:val="center"/>
        <w:rPr>
          <w:rFonts w:ascii="Arial Narrow;sans-serif" w:hAnsi="Arial Narrow;sans-serif"/>
          <w:b/>
          <w:smallCaps/>
          <w:color w:val="000000"/>
          <w:sz w:val="28"/>
        </w:rPr>
      </w:pPr>
      <w:r>
        <w:rPr>
          <w:rFonts w:ascii="Arial Narrow;sans-serif" w:hAnsi="Arial Narrow;sans-serif"/>
          <w:b/>
          <w:smallCaps/>
          <w:color w:val="000000"/>
          <w:sz w:val="28"/>
        </w:rPr>
        <w:t>Strattec Security Corporation</w:t>
      </w:r>
    </w:p>
    <w:p>
      <w:pPr>
        <w:pStyle w:val="TextBody"/>
        <w:bidi w:val="0"/>
        <w:jc w:val="center"/>
        <w:rPr>
          <w:rFonts w:ascii="Arial Narrow;sans-serif" w:hAnsi="Arial Narrow;sans-serif"/>
          <w:b/>
          <w:smallCaps/>
          <w:color w:val="000000"/>
          <w:sz w:val="24"/>
        </w:rPr>
      </w:pPr>
      <w:r>
        <w:rPr>
          <w:rFonts w:ascii="Arial Narrow;sans-serif" w:hAnsi="Arial Narrow;sans-serif"/>
          <w:b/>
          <w:smallCaps/>
          <w:color w:val="000000"/>
          <w:sz w:val="24"/>
        </w:rPr>
        <w:t>Consolidated Balance Sheets</w:t>
      </w:r>
    </w:p>
    <w:p>
      <w:pPr>
        <w:pStyle w:val="TextBody"/>
        <w:bidi w:val="0"/>
        <w:jc w:val="center"/>
        <w:rPr>
          <w:rFonts w:ascii="Arial Narrow;sans-serif" w:hAnsi="Arial Narrow;sans-serif"/>
          <w:color w:val="000000"/>
          <w:sz w:val="20"/>
        </w:rPr>
      </w:pPr>
      <w:r>
        <w:rPr>
          <w:rFonts w:ascii="Arial Narrow;sans-serif" w:hAnsi="Arial Narrow;sans-serif"/>
          <w:color w:val="000000"/>
          <w:sz w:val="20"/>
        </w:rPr>
        <w:t>(Unaudited)</w:t>
      </w:r>
    </w:p>
    <w:p>
      <w:pPr>
        <w:pStyle w:val="TextBody"/>
        <w:bidi w:val="0"/>
        <w:jc w:val="center"/>
        <w:rPr>
          <w:rFonts w:ascii="Arial Narrow;sans-serif" w:hAnsi="Arial Narrow;sans-serif"/>
          <w:i/>
          <w:color w:val="000000"/>
          <w:sz w:val="18"/>
        </w:rPr>
      </w:pPr>
      <w:r>
        <w:rPr>
          <w:rFonts w:ascii="Arial Narrow;sans-serif" w:hAnsi="Arial Narrow;sans-serif"/>
          <w:i/>
          <w:color w:val="000000"/>
          <w:sz w:val="18"/>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78"/>
        <w:gridCol w:w="244"/>
        <w:gridCol w:w="1041"/>
        <w:gridCol w:w="181"/>
        <w:gridCol w:w="146"/>
        <w:gridCol w:w="226"/>
        <w:gridCol w:w="961"/>
        <w:gridCol w:w="628"/>
      </w:tblGrid>
      <w:tr>
        <w:trPr/>
        <w:tc>
          <w:tcPr>
            <w:tcW w:w="67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December 28,</w:t>
              <w:b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June 29,</w:t>
              <w:br/>
              <w:t>2025</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ASSETS</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Current Assets:</w:t>
            </w:r>
          </w:p>
        </w:tc>
        <w:tc>
          <w:tcPr>
            <w:tcW w:w="12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Cash and cash equivalents</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99,027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84,579</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Receivables, net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89,217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102,061</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Inventories, net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71,934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64,701</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Pre-production costs</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6,857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8,657</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Value-added tax recoverable</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19,858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19,389</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Other current assets</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6,374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10,676</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rial Nova Light;sans-serif" w:hAnsi="Arial Nova Light;sans-serif"/>
                <w:b w:val="false"/>
                <w:color w:val="000000"/>
                <w:sz w:val="20"/>
              </w:rPr>
            </w:pPr>
            <w:r>
              <w:rPr>
                <w:rFonts w:ascii="Arial Nova Light;sans-serif" w:hAnsi="Arial Nova Light;sans-serif"/>
                <w:b w:val="false"/>
                <w:color w:val="000000"/>
                <w:sz w:val="20"/>
              </w:rPr>
              <w:t>Total current assets</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293,267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290,063</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Noncurrent Assets:</w:t>
            </w:r>
          </w:p>
        </w:tc>
        <w:tc>
          <w:tcPr>
            <w:tcW w:w="12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Property, plant and equipment, net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74,636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77,410</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Deferred income taxes</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19,758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19,531</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Other long-term assets</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4,584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4,450</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Total Assets</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392,245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391,454</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LIABILITIES AND SHAREHOLDERS’ EQUITY</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Current Liabilities:</w:t>
            </w:r>
          </w:p>
        </w:tc>
        <w:tc>
          <w:tcPr>
            <w:tcW w:w="12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Accounts payable</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59,568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65,824</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Accrued payroll and benefits</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15,709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22,956</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Value-added tax payable</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12,732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11,933</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Warranty reserve</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8,567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8,900</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Current portion of borrowings under credit facilities</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2,500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Other current liabilities</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13,374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9,737</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rial Nova Light;sans-serif" w:hAnsi="Arial Nova Light;sans-serif"/>
                <w:b w:val="false"/>
                <w:color w:val="000000"/>
                <w:sz w:val="20"/>
              </w:rPr>
            </w:pPr>
            <w:r>
              <w:rPr>
                <w:rFonts w:ascii="Arial Nova Light;sans-serif" w:hAnsi="Arial Nova Light;sans-serif"/>
                <w:b w:val="false"/>
                <w:color w:val="000000"/>
                <w:sz w:val="20"/>
              </w:rPr>
              <w:t>Total current liabilities</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112,450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119,350</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Noncurrent Liabilities:</w:t>
            </w:r>
          </w:p>
        </w:tc>
        <w:tc>
          <w:tcPr>
            <w:tcW w:w="12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Noncurrent portion of borrowings under credit facilities</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8,000</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Post-employment benefits</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12,806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13,325</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Other noncurrent liabilities</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3,975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4,348</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Total Liabilities</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129,231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145,023</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Shareholders’ Equity:</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Common stock, authorized 18,000,000 shares, $.01 par value, 7,699,083 issued shares at December 28, 2025 and 7,635,883 issued shares at June 29, 2025</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76</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Capital in excess of par value</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105,601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103,784</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Retained earnings</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282,773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269,297</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Accumulated other comprehensive loss</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(14,935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(16,113</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Less: treasury stock, at cost (3,615,268 shares at December 28, 2025 and 3,596,549 shares at June 29, 2025)</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(136,718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(135,452</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rial Nova Light;sans-serif" w:hAnsi="Arial Nova Light;sans-serif"/>
                <w:b w:val="false"/>
                <w:color w:val="000000"/>
                <w:sz w:val="20"/>
              </w:rPr>
            </w:pPr>
            <w:r>
              <w:rPr>
                <w:rFonts w:ascii="Arial Nova Light;sans-serif" w:hAnsi="Arial Nova Light;sans-serif"/>
                <w:b w:val="false"/>
                <w:color w:val="000000"/>
                <w:sz w:val="20"/>
              </w:rPr>
              <w:t>Total Strattec shareholders’ equity</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236,798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221,592</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rial Nova Light;sans-serif" w:hAnsi="Arial Nova Light;sans-serif"/>
                <w:b w:val="false"/>
                <w:color w:val="000000"/>
                <w:sz w:val="20"/>
              </w:rPr>
            </w:pPr>
            <w:r>
              <w:rPr>
                <w:rFonts w:ascii="Arial Nova Light;sans-serif" w:hAnsi="Arial Nova Light;sans-serif"/>
                <w:b w:val="false"/>
                <w:color w:val="000000"/>
                <w:sz w:val="20"/>
              </w:rPr>
              <w:t>Non-controlling interest</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26,216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24,839</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Total Shareholders' Equity</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263,014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246,431</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Total Liabilities and Shareholders' Equity</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392,245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391,454</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Narrow;sans-serif" w:hAnsi="Arial Narrow;sans-serif"/>
          <w:color w:val="000000"/>
          <w:sz w:val="20"/>
        </w:rPr>
      </w:pPr>
      <w:r>
        <w:rPr>
          <w:rFonts w:ascii="Arial Narrow;sans-serif" w:hAnsi="Arial Narrow;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rFonts w:ascii="Arial Narrow;sans-serif" w:hAnsi="Arial Narrow;sans-serif"/>
          <w:b/>
          <w:color w:val="000000"/>
          <w:sz w:val="18"/>
        </w:rPr>
      </w:pPr>
      <w:r>
        <w:rPr>
          <w:rFonts w:ascii="Arial Narrow;sans-serif" w:hAnsi="Arial Narrow;sans-serif"/>
          <w:b/>
          <w:color w:val="000000"/>
          <w:sz w:val="18"/>
        </w:rPr>
        <w:t xml:space="preserve">Strattec Generated $14 million in Cash from Operations in Second Quarter Fiscal 2026 </w:t>
        <w:br/>
        <w:t>February 5, 2026</w:t>
      </w:r>
    </w:p>
    <w:p>
      <w:pPr>
        <w:pStyle w:val="TextBody"/>
        <w:bidi w:val="0"/>
        <w:jc w:val="left"/>
        <w:rPr>
          <w:rFonts w:ascii="Times New Roman" w:hAnsi="Times New Roman"/>
          <w:sz w:val="20"/>
        </w:rPr>
      </w:pPr>
      <w:r>
        <w:rPr>
          <w:rFonts w:ascii="Arial Narrow;sans-serif" w:hAnsi="Arial Narrow;sans-serif"/>
          <w:b/>
          <w:color w:val="000000"/>
          <w:sz w:val="18"/>
        </w:rPr>
        <w:t>Page 7</w:t>
      </w:r>
      <w:r>
        <w:rPr>
          <w:rFonts w:ascii="Times New Roman" w:hAnsi="Times New Roman"/>
          <w:color w:val="000000"/>
          <w:sz w:val="20"/>
        </w:rPr>
        <w:t xml:space="preserve"> </w:t>
      </w:r>
      <w:r>
        <w:rPr>
          <w:rFonts w:ascii="Arial Narrow;sans-serif" w:hAnsi="Arial Narrow;sans-serif"/>
          <w:b/>
          <w:color w:val="000000"/>
          <w:sz w:val="18"/>
        </w:rPr>
        <w:t>of 10</w:t>
      </w:r>
    </w:p>
    <w:p>
      <w:pPr>
        <w:pStyle w:val="TextBody"/>
        <w:bidi w:val="0"/>
        <w:jc w:val="left"/>
        <w:rPr/>
      </w:pPr>
      <w:r>
        <w:rPr/>
        <w:t> </w:t>
      </w:r>
    </w:p>
    <w:p>
      <w:pPr>
        <w:pStyle w:val="TextBody"/>
        <w:bidi w:val="0"/>
        <w:jc w:val="center"/>
        <w:rPr>
          <w:rFonts w:ascii="Times New Roman" w:hAnsi="Times New Roman"/>
          <w:sz w:val="20"/>
        </w:rPr>
      </w:pPr>
      <w:r>
        <w:rPr>
          <w:rFonts w:ascii="Arial Narrow;sans-serif" w:hAnsi="Arial Narrow;sans-serif"/>
          <w:b/>
          <w:smallCaps/>
          <w:color w:val="000000"/>
          <w:sz w:val="24"/>
        </w:rPr>
        <w:t>Strattec Security Corporation</w:t>
      </w:r>
      <w:r>
        <w:rPr>
          <w:rFonts w:ascii="Times New Roman" w:hAnsi="Times New Roman"/>
          <w:smallCaps/>
          <w:color w:val="000000"/>
          <w:sz w:val="20"/>
        </w:rPr>
        <w:t xml:space="preserve"> </w:t>
      </w:r>
    </w:p>
    <w:p>
      <w:pPr>
        <w:pStyle w:val="TextBody"/>
        <w:bidi w:val="0"/>
        <w:jc w:val="center"/>
        <w:rPr>
          <w:rFonts w:ascii="Times New Roman" w:hAnsi="Times New Roman"/>
          <w:sz w:val="20"/>
        </w:rPr>
      </w:pPr>
      <w:r>
        <w:rPr>
          <w:rFonts w:ascii="Arial Narrow;sans-serif" w:hAnsi="Arial Narrow;sans-serif"/>
          <w:b/>
          <w:smallCaps/>
          <w:color w:val="000000"/>
          <w:sz w:val="24"/>
        </w:rPr>
        <w:t xml:space="preserve">Consolidated Statements of Cash Flows </w:t>
      </w:r>
      <w:r>
        <w:rPr>
          <w:rFonts w:ascii="Arial Narrow;sans-serif" w:hAnsi="Arial Narrow;sans-serif"/>
          <w:color w:val="000000"/>
          <w:sz w:val="20"/>
        </w:rPr>
        <w:t xml:space="preserve">(Unaudited) </w:t>
      </w:r>
      <w:r>
        <w:rPr>
          <w:rFonts w:ascii="Arial Narrow;sans-serif" w:hAnsi="Arial Narrow;sans-serif"/>
          <w:i/>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3577"/>
        <w:gridCol w:w="254"/>
        <w:gridCol w:w="950"/>
        <w:gridCol w:w="181"/>
        <w:gridCol w:w="146"/>
        <w:gridCol w:w="274"/>
        <w:gridCol w:w="930"/>
        <w:gridCol w:w="181"/>
        <w:gridCol w:w="146"/>
        <w:gridCol w:w="274"/>
        <w:gridCol w:w="930"/>
        <w:gridCol w:w="181"/>
        <w:gridCol w:w="146"/>
        <w:gridCol w:w="274"/>
        <w:gridCol w:w="930"/>
        <w:gridCol w:w="831"/>
      </w:tblGrid>
      <w:tr>
        <w:trPr/>
        <w:tc>
          <w:tcPr>
            <w:tcW w:w="357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35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Three Months Ended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Six Months Ended</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December 28,</w:t>
              <w:b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December 29,</w:t>
              <w:b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December 28,</w:t>
              <w:b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December 29,</w:t>
              <w:br/>
              <w:t>2024</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7"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OPERATING ACTIVITIES:</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Net income</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5,643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14,180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5,146</w:t>
            </w:r>
          </w:p>
        </w:tc>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Adjustments to reconcile net income to net cash provided by operating activities:</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7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rial Nova Light;sans-serif" w:hAnsi="Arial Nova Light;sans-serif"/>
                <w:b w:val="false"/>
                <w:color w:val="000000"/>
                <w:sz w:val="20"/>
              </w:rPr>
            </w:pPr>
            <w:r>
              <w:rPr>
                <w:rFonts w:ascii="Arial Nova Light;sans-serif" w:hAnsi="Arial Nova Light;sans-serif"/>
                <w:b w:val="false"/>
                <w:color w:val="000000"/>
                <w:sz w:val="20"/>
              </w:rPr>
              <w:t>Depreciation</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3,893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3,544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7,678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7,206</w:t>
            </w:r>
          </w:p>
        </w:tc>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rial Nova Light;sans-serif" w:hAnsi="Arial Nova Light;sans-serif"/>
                <w:b w:val="false"/>
                <w:color w:val="000000"/>
                <w:sz w:val="20"/>
              </w:rPr>
            </w:pPr>
            <w:r>
              <w:rPr>
                <w:rFonts w:ascii="Arial Nova Light;sans-serif" w:hAnsi="Arial Nova Light;sans-serif"/>
                <w:b w:val="false"/>
                <w:color w:val="000000"/>
                <w:sz w:val="20"/>
              </w:rPr>
              <w:t>Foreign currency transaction loss (gain)</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(188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1,134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(1,193</w:t>
            </w:r>
          </w:p>
        </w:tc>
        <w:tc>
          <w:tcPr>
            <w:tcW w:w="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r>
      <w:tr>
        <w:trPr/>
        <w:tc>
          <w:tcPr>
            <w:tcW w:w="357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rial Nova Light;sans-serif" w:hAnsi="Arial Nova Light;sans-serif"/>
                <w:b w:val="false"/>
                <w:color w:val="000000"/>
                <w:sz w:val="20"/>
              </w:rPr>
            </w:pPr>
            <w:r>
              <w:rPr>
                <w:rFonts w:ascii="Arial Nova Light;sans-serif" w:hAnsi="Arial Nova Light;sans-serif"/>
                <w:b w:val="false"/>
                <w:color w:val="000000"/>
                <w:sz w:val="20"/>
              </w:rPr>
              <w:t>Stock-based compensation expense</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1,125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1,794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1,079</w:t>
            </w:r>
          </w:p>
        </w:tc>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rial Nova Light;sans-serif" w:hAnsi="Arial Nova Light;sans-serif"/>
                <w:b w:val="false"/>
                <w:color w:val="000000"/>
                <w:sz w:val="20"/>
              </w:rPr>
            </w:pPr>
            <w:r>
              <w:rPr>
                <w:rFonts w:ascii="Arial Nova Light;sans-serif" w:hAnsi="Arial Nova Light;sans-serif"/>
                <w:b w:val="false"/>
                <w:color w:val="000000"/>
                <w:sz w:val="20"/>
              </w:rPr>
              <w:t>Unrealized (gain) loss on peso forward contracts</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284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936</w:t>
            </w:r>
          </w:p>
        </w:tc>
        <w:tc>
          <w:tcPr>
            <w:tcW w:w="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rial Nova Light;sans-serif" w:hAnsi="Arial Nova Light;sans-serif"/>
                <w:b w:val="false"/>
                <w:color w:val="000000"/>
                <w:sz w:val="20"/>
              </w:rPr>
            </w:pPr>
            <w:r>
              <w:rPr>
                <w:rFonts w:ascii="Arial Nova Light;sans-serif" w:hAnsi="Arial Nova Light;sans-serif"/>
                <w:b w:val="false"/>
                <w:color w:val="000000"/>
                <w:sz w:val="20"/>
              </w:rPr>
              <w:t>Other, net</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816</w:t>
            </w:r>
          </w:p>
        </w:tc>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rial Nova Light;sans-serif" w:hAnsi="Arial Nova Light;sans-serif"/>
                <w:b w:val="false"/>
                <w:color w:val="000000"/>
                <w:sz w:val="20"/>
              </w:rPr>
            </w:pPr>
            <w:r>
              <w:rPr>
                <w:rFonts w:ascii="Arial Nova Light;sans-serif" w:hAnsi="Arial Nova Light;sans-serif"/>
                <w:b w:val="false"/>
                <w:color w:val="000000"/>
                <w:sz w:val="20"/>
              </w:rPr>
              <w:t>Change in operating assets and liabilities</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577"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Arial Nova Light;sans-serif" w:hAnsi="Arial Nova Light;sans-serif"/>
                <w:b w:val="false"/>
                <w:color w:val="000000"/>
                <w:sz w:val="20"/>
              </w:rPr>
            </w:pPr>
            <w:r>
              <w:rPr>
                <w:rFonts w:ascii="Arial Nova Light;sans-serif" w:hAnsi="Arial Nova Light;sans-serif"/>
                <w:b w:val="false"/>
                <w:color w:val="000000"/>
                <w:sz w:val="20"/>
              </w:rPr>
              <w:t>Receivables</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13,468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10,568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12,894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7,379</w:t>
            </w:r>
          </w:p>
        </w:tc>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577"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Arial Nova Light;sans-serif" w:hAnsi="Arial Nova Light;sans-serif"/>
                <w:b w:val="false"/>
                <w:color w:val="000000"/>
                <w:sz w:val="20"/>
              </w:rPr>
            </w:pPr>
            <w:r>
              <w:rPr>
                <w:rFonts w:ascii="Arial Nova Light;sans-serif" w:hAnsi="Arial Nova Light;sans-serif"/>
                <w:b w:val="false"/>
                <w:color w:val="000000"/>
                <w:sz w:val="20"/>
              </w:rPr>
              <w:t>Inventories</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(10,342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2,283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(7,233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138</w:t>
            </w:r>
          </w:p>
        </w:tc>
        <w:tc>
          <w:tcPr>
            <w:tcW w:w="8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577"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Arial Nova Light;sans-serif" w:hAnsi="Arial Nova Light;sans-serif"/>
                <w:b w:val="false"/>
                <w:color w:val="000000"/>
                <w:sz w:val="20"/>
              </w:rPr>
            </w:pPr>
            <w:r>
              <w:rPr>
                <w:rFonts w:ascii="Arial Nova Light;sans-serif" w:hAnsi="Arial Nova Light;sans-serif"/>
                <w:b w:val="false"/>
                <w:color w:val="000000"/>
                <w:sz w:val="20"/>
              </w:rPr>
              <w:t>Prepaids and other assets</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2,845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1,963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6,649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7,844</w:t>
            </w:r>
          </w:p>
        </w:tc>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577"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Arial Nova Light;sans-serif" w:hAnsi="Arial Nova Light;sans-serif"/>
                <w:b w:val="false"/>
                <w:color w:val="000000"/>
                <w:sz w:val="20"/>
              </w:rPr>
            </w:pPr>
            <w:r>
              <w:rPr>
                <w:rFonts w:ascii="Arial Nova Light;sans-serif" w:hAnsi="Arial Nova Light;sans-serif"/>
                <w:b w:val="false"/>
                <w:color w:val="000000"/>
                <w:sz w:val="20"/>
              </w:rPr>
              <w:t>Accounts payable</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(1,545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(9,026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(6,362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(3,990</w:t>
            </w:r>
          </w:p>
        </w:tc>
        <w:tc>
          <w:tcPr>
            <w:tcW w:w="8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r>
      <w:tr>
        <w:trPr/>
        <w:tc>
          <w:tcPr>
            <w:tcW w:w="3577"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Arial Nova Light;sans-serif" w:hAnsi="Arial Nova Light;sans-serif"/>
                <w:b w:val="false"/>
                <w:color w:val="000000"/>
                <w:sz w:val="20"/>
              </w:rPr>
            </w:pPr>
            <w:r>
              <w:rPr>
                <w:rFonts w:ascii="Arial Nova Light;sans-serif" w:hAnsi="Arial Nova Light;sans-serif"/>
                <w:b w:val="false"/>
                <w:color w:val="000000"/>
                <w:sz w:val="20"/>
              </w:rPr>
              <w:t>Accrued liabilities</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(1,817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(2,542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(5,697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(4,580</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r>
      <w:tr>
        <w:trPr/>
        <w:tc>
          <w:tcPr>
            <w:tcW w:w="357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Net cash provided by operating activities</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13,881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9,444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25,208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20,781</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INVESTING ACTIVITIES:</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Purchase of property, plant and equipment</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(2,631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(4,160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(2,990</w:t>
            </w:r>
          </w:p>
        </w:tc>
        <w:tc>
          <w:tcPr>
            <w:tcW w:w="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r>
      <w:tr>
        <w:trPr/>
        <w:tc>
          <w:tcPr>
            <w:tcW w:w="357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Proceeds from sale of property, plant and equipment</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259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259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7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Net cash used in investing activities</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(2,372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(3,901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(2,990</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r>
      <w:tr>
        <w:trPr/>
        <w:tc>
          <w:tcPr>
            <w:tcW w:w="35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FINANCING ACTIVITIES:</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Borrowings under credit facilities</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3,000</w:t>
            </w:r>
          </w:p>
        </w:tc>
        <w:tc>
          <w:tcPr>
            <w:tcW w:w="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Repayment of borrowings under credit facilities</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(2,500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(5,500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(3,000</w:t>
            </w:r>
          </w:p>
        </w:tc>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r>
      <w:tr>
        <w:trPr/>
        <w:tc>
          <w:tcPr>
            <w:tcW w:w="357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Payment for debt issuance costs</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Payment for taxes withheld from stock-based awards</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(1,274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Share issuances</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28</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7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Net cash (used in) provided by financing activities</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(2,937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(6,840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28</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7"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Foreign currency impact on cash</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(320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(604</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r>
      <w:tr>
        <w:trPr/>
        <w:tc>
          <w:tcPr>
            <w:tcW w:w="35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NET INCREASE IN CASH AND CASH EQUIVALENTS</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8,554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8,222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14,448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17,215</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CASH AND CASH EQUIVALENTS</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Beginning of period</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90,473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34,403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84,579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25,410</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7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End of period</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99,027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42,625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99,027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42,625</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7"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SUPPLEMENTAL DISCLOSURE OF CASH FLOW INFORMATION:</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Cash paid during the period for:</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Income taxes</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4,458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1,157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8,539</w:t>
            </w:r>
          </w:p>
        </w:tc>
        <w:tc>
          <w:tcPr>
            <w:tcW w:w="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Interest</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559</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7"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Non-cash investing activities:</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Change in capital expenditures in accounts payable</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(450</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r>
    </w:tbl>
    <w:p>
      <w:pPr>
        <w:pStyle w:val="TextBody"/>
        <w:bidi w:val="0"/>
        <w:jc w:val="center"/>
        <w:rPr>
          <w:rFonts w:ascii="Arial Narrow;sans-serif" w:hAnsi="Arial Narrow;sans-serif"/>
          <w:b/>
          <w:smallCaps/>
          <w:color w:val="000000"/>
          <w:sz w:val="28"/>
        </w:rPr>
      </w:pPr>
      <w:r>
        <w:rPr>
          <w:rFonts w:ascii="Arial Narrow;sans-serif" w:hAnsi="Arial Narrow;sans-serif"/>
          <w:b/>
          <w:smallCaps/>
          <w:color w:val="000000"/>
          <w:sz w:val="28"/>
        </w:rPr>
        <w:t>Strattec Security Corporation</w:t>
      </w:r>
    </w:p>
    <w:p>
      <w:pPr>
        <w:pStyle w:val="TextBody"/>
        <w:bidi w:val="0"/>
        <w:jc w:val="center"/>
        <w:rPr>
          <w:rFonts w:ascii="Times New Roman" w:hAnsi="Times New Roman"/>
          <w:sz w:val="20"/>
        </w:rPr>
      </w:pPr>
      <w:r>
        <w:rPr>
          <w:rFonts w:ascii="Arial Narrow;sans-serif" w:hAnsi="Arial Narrow;sans-serif"/>
          <w:b/>
          <w:smallCaps/>
          <w:color w:val="000000"/>
          <w:sz w:val="24"/>
        </w:rPr>
        <w:t xml:space="preserve">Reconciliation of GAAP to Non-GAAP Financial Measures </w:t>
      </w:r>
      <w:r>
        <w:rPr>
          <w:rFonts w:ascii="Arial Narrow;sans-serif" w:hAnsi="Arial Narrow;sans-serif"/>
          <w:i/>
          <w:color w:val="000000"/>
          <w:sz w:val="18"/>
        </w:rPr>
        <w:t>(in thousands, except per share amounts)</w:t>
      </w:r>
    </w:p>
    <w:p>
      <w:pPr>
        <w:pStyle w:val="TextBody"/>
        <w:bidi w:val="0"/>
        <w:jc w:val="center"/>
        <w:rPr>
          <w:rFonts w:ascii="Arial Narrow;sans-serif" w:hAnsi="Arial Narrow;sans-serif"/>
          <w:color w:val="000000"/>
          <w:sz w:val="20"/>
        </w:rPr>
      </w:pPr>
      <w:r>
        <w:rPr>
          <w:rFonts w:ascii="Arial Narrow;sans-serif" w:hAnsi="Arial Narrow;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rFonts w:ascii="Arial Narrow;sans-serif" w:hAnsi="Arial Narrow;sans-serif"/>
          <w:b/>
          <w:color w:val="000000"/>
          <w:sz w:val="18"/>
        </w:rPr>
      </w:pPr>
      <w:r>
        <w:rPr>
          <w:rFonts w:ascii="Arial Narrow;sans-serif" w:hAnsi="Arial Narrow;sans-serif"/>
          <w:b/>
          <w:color w:val="000000"/>
          <w:sz w:val="18"/>
        </w:rPr>
        <w:t xml:space="preserve">Strattec Generated $14 million in Cash from Operations in Second Quarter Fiscal 2026 </w:t>
        <w:br/>
        <w:t>February 5, 2026</w:t>
      </w:r>
    </w:p>
    <w:p>
      <w:pPr>
        <w:pStyle w:val="TextBody"/>
        <w:bidi w:val="0"/>
        <w:jc w:val="left"/>
        <w:rPr>
          <w:rFonts w:ascii="Times New Roman" w:hAnsi="Times New Roman"/>
          <w:sz w:val="20"/>
        </w:rPr>
      </w:pPr>
      <w:r>
        <w:rPr>
          <w:rFonts w:ascii="Arial Narrow;sans-serif" w:hAnsi="Arial Narrow;sans-serif"/>
          <w:b/>
          <w:color w:val="000000"/>
          <w:sz w:val="18"/>
        </w:rPr>
        <w:t>Page 8</w:t>
      </w:r>
      <w:r>
        <w:rPr>
          <w:rFonts w:ascii="Times New Roman" w:hAnsi="Times New Roman"/>
          <w:color w:val="000000"/>
          <w:sz w:val="20"/>
        </w:rPr>
        <w:t xml:space="preserve"> </w:t>
      </w:r>
      <w:r>
        <w:rPr>
          <w:rFonts w:ascii="Arial Narrow;sans-serif" w:hAnsi="Arial Narrow;sans-serif"/>
          <w:b/>
          <w:color w:val="000000"/>
          <w:sz w:val="18"/>
        </w:rPr>
        <w:t>of 10</w:t>
      </w:r>
    </w:p>
    <w:p>
      <w:pPr>
        <w:pStyle w:val="TextBody"/>
        <w:bidi w:val="0"/>
        <w:jc w:val="left"/>
        <w:rPr/>
      </w:pPr>
      <w:r>
        <w:rPr/>
        <w:t> </w:t>
      </w:r>
    </w:p>
    <w:tbl>
      <w:tblPr>
        <w:tblW w:w="14513" w:type="dxa"/>
        <w:jc w:val="left"/>
        <w:tblInd w:w="0" w:type="dxa"/>
        <w:tblLayout w:type="fixed"/>
        <w:tblCellMar>
          <w:top w:w="28" w:type="dxa"/>
          <w:left w:w="28" w:type="dxa"/>
          <w:bottom w:w="28" w:type="dxa"/>
          <w:right w:w="28" w:type="dxa"/>
        </w:tblCellMar>
      </w:tblPr>
      <w:tblGrid>
        <w:gridCol w:w="1791"/>
        <w:gridCol w:w="146"/>
        <w:gridCol w:w="226"/>
        <w:gridCol w:w="886"/>
        <w:gridCol w:w="286"/>
        <w:gridCol w:w="226"/>
        <w:gridCol w:w="886"/>
        <w:gridCol w:w="286"/>
        <w:gridCol w:w="226"/>
        <w:gridCol w:w="886"/>
        <w:gridCol w:w="286"/>
        <w:gridCol w:w="226"/>
        <w:gridCol w:w="886"/>
        <w:gridCol w:w="286"/>
        <w:gridCol w:w="226"/>
        <w:gridCol w:w="886"/>
        <w:gridCol w:w="286"/>
        <w:gridCol w:w="146"/>
        <w:gridCol w:w="226"/>
        <w:gridCol w:w="886"/>
        <w:gridCol w:w="286"/>
        <w:gridCol w:w="226"/>
        <w:gridCol w:w="886"/>
        <w:gridCol w:w="286"/>
        <w:gridCol w:w="226"/>
        <w:gridCol w:w="181"/>
        <w:gridCol w:w="146"/>
        <w:gridCol w:w="226"/>
        <w:gridCol w:w="181"/>
        <w:gridCol w:w="146"/>
        <w:gridCol w:w="226"/>
        <w:gridCol w:w="886"/>
        <w:gridCol w:w="426"/>
      </w:tblGrid>
      <w:tr>
        <w:trPr/>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Fiscal 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Fiscal 2026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Q1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Q2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Q3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Q4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Total</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Q1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Q2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Q3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Q4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ova Light;sans-serif" w:hAnsi="Arial Nova Light;sans-serif"/>
                <w:b w:val="false"/>
                <w:color w:val="000000"/>
                <w:sz w:val="20"/>
              </w:rPr>
            </w:pPr>
            <w:r>
              <w:rPr>
                <w:rFonts w:ascii="Arial Nova Light;sans-serif" w:hAnsi="Arial Nova Light;sans-serif"/>
                <w:b w:val="false"/>
                <w:color w:val="000000"/>
                <w:sz w:val="20"/>
              </w:rPr>
              <w:t>Total</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Net Sales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139,052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129,919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144,082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152,013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565,066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152,399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137,534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289,933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Net income attributable to Strattec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3,703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1,319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5,396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8,267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18,685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8,529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4,947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13,476</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Net income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696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704</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1,498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1,644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2,170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5,717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2,356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1,699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4,055</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482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(1,189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275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(1,691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(1,416</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(349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(529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(753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(2,039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(877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(885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(1,762</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295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257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243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212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1,007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156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252</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5,063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2,134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7,085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8,502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22,784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10,447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4,862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15,309</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3,662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3,544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3,746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3,812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14,764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3,785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3,893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7,678</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188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891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760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887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2,726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669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1,125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1,794</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Restructuring and similar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809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(676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398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1,305</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Executive transition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941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921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214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2,058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224</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Business transformation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215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259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479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1,027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514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994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1,508</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4,865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5,836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5,788</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4,485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20,974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5,104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7,405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12,509</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Adjusted EBITDA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9,928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7,970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12,873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12,987</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43,758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15,551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12,267</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27,818</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Adjusted EBITDA as a % of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6.1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10.2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9.6</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 xml:space="preserve">ADJUSTED NET INCOME AND </w:t>
              <w:br/>
              <w:t>EARNINGS/(LOSS)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Arial Narrow;sans-serif" w:hAnsi="Arial Narrow;sans-serif"/>
          <w:color w:val="000000"/>
          <w:sz w:val="20"/>
        </w:rPr>
      </w:pPr>
      <w:r>
        <w:rPr>
          <w:rFonts w:ascii="Arial Narrow;sans-serif" w:hAnsi="Arial Narrow;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rFonts w:ascii="Arial Narrow;sans-serif" w:hAnsi="Arial Narrow;sans-serif"/>
          <w:b/>
          <w:color w:val="000000"/>
          <w:sz w:val="18"/>
        </w:rPr>
      </w:pPr>
      <w:r>
        <w:rPr>
          <w:rFonts w:ascii="Arial Narrow;sans-serif" w:hAnsi="Arial Narrow;sans-serif"/>
          <w:b/>
          <w:color w:val="000000"/>
          <w:sz w:val="18"/>
        </w:rPr>
        <w:t xml:space="preserve">Strattec Generated $14 million in Cash from Operations in Second Quarter Fiscal 2026 </w:t>
        <w:br/>
        <w:t>February 5, 2026</w:t>
      </w:r>
    </w:p>
    <w:p>
      <w:pPr>
        <w:pStyle w:val="TextBody"/>
        <w:bidi w:val="0"/>
        <w:jc w:val="left"/>
        <w:rPr>
          <w:rFonts w:ascii="Times New Roman" w:hAnsi="Times New Roman"/>
          <w:sz w:val="20"/>
        </w:rPr>
      </w:pPr>
      <w:r>
        <w:rPr>
          <w:rFonts w:ascii="Arial Narrow;sans-serif" w:hAnsi="Arial Narrow;sans-serif"/>
          <w:b/>
          <w:color w:val="000000"/>
          <w:sz w:val="18"/>
        </w:rPr>
        <w:t>Page 9</w:t>
      </w:r>
      <w:r>
        <w:rPr>
          <w:rFonts w:ascii="Times New Roman" w:hAnsi="Times New Roman"/>
          <w:color w:val="000000"/>
          <w:sz w:val="20"/>
        </w:rPr>
        <w:t xml:space="preserve"> </w:t>
      </w:r>
      <w:r>
        <w:rPr>
          <w:rFonts w:ascii="Arial Narrow;sans-serif" w:hAnsi="Arial Narrow;sans-serif"/>
          <w:b/>
          <w:color w:val="000000"/>
          <w:sz w:val="18"/>
        </w:rPr>
        <w:t>of 10</w:t>
      </w:r>
    </w:p>
    <w:p>
      <w:pPr>
        <w:pStyle w:val="TextBody"/>
        <w:bidi w:val="0"/>
        <w:jc w:val="left"/>
        <w:rPr/>
      </w:pPr>
      <w:r>
        <w:rPr/>
        <w:t> </w:t>
      </w:r>
    </w:p>
    <w:tbl>
      <w:tblPr>
        <w:tblW w:w="12128" w:type="dxa"/>
        <w:jc w:val="left"/>
        <w:tblInd w:w="0" w:type="dxa"/>
        <w:tblLayout w:type="fixed"/>
        <w:tblCellMar>
          <w:top w:w="28" w:type="dxa"/>
          <w:left w:w="28" w:type="dxa"/>
          <w:bottom w:w="28" w:type="dxa"/>
          <w:right w:w="28" w:type="dxa"/>
        </w:tblCellMar>
      </w:tblPr>
      <w:tblGrid>
        <w:gridCol w:w="1821"/>
        <w:gridCol w:w="146"/>
        <w:gridCol w:w="226"/>
        <w:gridCol w:w="646"/>
        <w:gridCol w:w="181"/>
        <w:gridCol w:w="226"/>
        <w:gridCol w:w="646"/>
        <w:gridCol w:w="181"/>
        <w:gridCol w:w="226"/>
        <w:gridCol w:w="646"/>
        <w:gridCol w:w="181"/>
        <w:gridCol w:w="226"/>
        <w:gridCol w:w="646"/>
        <w:gridCol w:w="181"/>
        <w:gridCol w:w="226"/>
        <w:gridCol w:w="766"/>
        <w:gridCol w:w="181"/>
        <w:gridCol w:w="146"/>
        <w:gridCol w:w="226"/>
        <w:gridCol w:w="646"/>
        <w:gridCol w:w="181"/>
        <w:gridCol w:w="226"/>
        <w:gridCol w:w="646"/>
        <w:gridCol w:w="181"/>
        <w:gridCol w:w="226"/>
        <w:gridCol w:w="181"/>
        <w:gridCol w:w="146"/>
        <w:gridCol w:w="226"/>
        <w:gridCol w:w="181"/>
        <w:gridCol w:w="146"/>
        <w:gridCol w:w="226"/>
        <w:gridCol w:w="766"/>
        <w:gridCol w:w="426"/>
      </w:tblGrid>
      <w:tr>
        <w:trPr/>
        <w:tc>
          <w:tcPr>
            <w:tcW w:w="1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Net income attributable to Strattec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3,703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5,396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8,267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18,685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8,529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4,947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13,476</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Restructuring and similar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(676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1,165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1,735</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Executive transition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1,224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1,225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2,778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224</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Business transformation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259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1,027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1,508</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Non-controlling interest impact on above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190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(6</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Tax effect on above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(292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(384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(376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107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(945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(383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(335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(718</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1,006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1,321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746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185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3,258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641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2,102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2,743</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Adjusted Net Income attributable to Strattec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4,709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2,640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6,142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8,452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21,943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9,170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7,049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16,219</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Weighted Average Basic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4,067</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Weighted Average Diluted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4,070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4,085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4,105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4,076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4,127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4,131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4,128</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Diluted earnings per share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0.92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0.32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4.58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3.26</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Adjusted dilutive earnings per share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0.65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5.38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2.22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1.71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ova Light;sans-serif" w:hAnsi="Arial Nova Light;sans-serif"/>
                <w:b w:val="false"/>
                <w:color w:val="000000"/>
                <w:sz w:val="20"/>
              </w:rPr>
            </w:pPr>
            <w:r>
              <w:rPr>
                <w:rFonts w:ascii="Arial Nova Light;sans-serif" w:hAnsi="Arial Nova Light;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ova Light;sans-serif" w:hAnsi="Arial Nova Light;sans-serif"/>
                <w:b w:val="false"/>
                <w:color w:val="000000"/>
                <w:sz w:val="20"/>
              </w:rPr>
            </w:pPr>
            <w:r>
              <w:rPr>
                <w:rFonts w:ascii="Arial Nova Light;sans-serif" w:hAnsi="Arial Nova Light;sans-serif"/>
                <w:b w:val="false"/>
                <w:color w:val="000000"/>
                <w:sz w:val="20"/>
              </w:rPr>
              <w:t>3.93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Arial Narrow;sans-serif" w:hAnsi="Arial Narrow;sans-serif"/>
          <w:color w:val="000000"/>
          <w:sz w:val="20"/>
        </w:rPr>
      </w:pPr>
      <w:r>
        <w:rPr>
          <w:rFonts w:ascii="Arial Narrow;sans-serif" w:hAnsi="Arial Narrow;sans-serif"/>
          <w:color w:val="000000"/>
          <w:sz w:val="20"/>
        </w:rPr>
        <w:t>-9-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rial Nova Light">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3604</Words>
  <Characters>19382</Characters>
  <CharactersWithSpaces>23715</CharactersWithSpaces>
  <Paragraphs>2624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